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4A0C" w14:textId="77777777"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="009C1CE0" w14:paraId="2C594D30" w14:textId="77777777">
        <w:tc>
          <w:tcPr>
            <w:tcW w:w="15278" w:type="dxa"/>
            <w:gridSpan w:val="6"/>
          </w:tcPr>
          <w:p w14:paraId="4D0AA499" w14:textId="77777777"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 w14:paraId="4DF8B912" w14:textId="77777777">
        <w:trPr>
          <w:trHeight w:val="417"/>
        </w:trPr>
        <w:tc>
          <w:tcPr>
            <w:tcW w:w="1506" w:type="dxa"/>
          </w:tcPr>
          <w:p w14:paraId="78F2E87A" w14:textId="77777777"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14:paraId="19CD7973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1</w:t>
            </w:r>
          </w:p>
          <w:p w14:paraId="7AB8DE41" w14:textId="77777777" w:rsidR="009C1CE0" w:rsidRDefault="00884A30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Inheritance, Variation and Evolution</w:t>
            </w:r>
          </w:p>
        </w:tc>
        <w:tc>
          <w:tcPr>
            <w:tcW w:w="4641" w:type="dxa"/>
            <w:gridSpan w:val="3"/>
          </w:tcPr>
          <w:p w14:paraId="21336DA2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2</w:t>
            </w:r>
          </w:p>
          <w:p w14:paraId="4D01A9CE" w14:textId="77777777" w:rsidR="009C1CE0" w:rsidRDefault="00884A30" w:rsidP="004845FE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Ecology</w:t>
            </w:r>
          </w:p>
        </w:tc>
        <w:tc>
          <w:tcPr>
            <w:tcW w:w="4592" w:type="dxa"/>
          </w:tcPr>
          <w:p w14:paraId="53DC2864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3</w:t>
            </w:r>
          </w:p>
          <w:p w14:paraId="40065507" w14:textId="77777777" w:rsidR="009C1CE0" w:rsidRDefault="00884A30">
            <w:pPr>
              <w:jc w:val="center"/>
              <w:rPr>
                <w:rFonts w:ascii="Corbel" w:eastAsia="Corbel" w:hAnsi="Corbel" w:cs="Corbel"/>
                <w:b/>
              </w:rPr>
            </w:pPr>
            <w:bookmarkStart w:id="0" w:name="_heading=h.30j0zll" w:colFirst="0" w:colLast="0"/>
            <w:bookmarkEnd w:id="0"/>
            <w:r>
              <w:rPr>
                <w:rFonts w:ascii="Corbel" w:eastAsia="Corbel" w:hAnsi="Corbel" w:cs="Corbel"/>
                <w:b/>
              </w:rPr>
              <w:t>Revision</w:t>
            </w:r>
          </w:p>
        </w:tc>
      </w:tr>
      <w:tr w:rsidR="00B66D26" w14:paraId="197A5D83" w14:textId="77777777" w:rsidTr="00B97D44">
        <w:trPr>
          <w:trHeight w:val="1562"/>
        </w:trPr>
        <w:tc>
          <w:tcPr>
            <w:tcW w:w="1506" w:type="dxa"/>
            <w:shd w:val="clear" w:color="auto" w:fill="C5E0B3" w:themeFill="accent6" w:themeFillTint="66"/>
          </w:tcPr>
          <w:p w14:paraId="59E0C4F9" w14:textId="77777777" w:rsidR="00B66D26" w:rsidRDefault="00C03F0B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Bridge</w:t>
            </w:r>
            <w:r w:rsidR="00F376CC">
              <w:rPr>
                <w:rFonts w:ascii="Corbel" w:eastAsia="Corbel" w:hAnsi="Corbel" w:cs="Corbel"/>
                <w:b/>
              </w:rPr>
              <w:t>/ Foundation knowledge required</w:t>
            </w:r>
          </w:p>
        </w:tc>
        <w:tc>
          <w:tcPr>
            <w:tcW w:w="4539" w:type="dxa"/>
            <w:shd w:val="clear" w:color="auto" w:fill="C5E0B3" w:themeFill="accent6" w:themeFillTint="66"/>
          </w:tcPr>
          <w:p w14:paraId="1EF171B4" w14:textId="2B794057" w:rsidR="004F7049" w:rsidRDefault="00405AF7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884A30">
              <w:rPr>
                <w:rFonts w:ascii="Corbel" w:eastAsia="Corbel" w:hAnsi="Corbel" w:cs="Corbel"/>
                <w:sz w:val="16"/>
                <w:szCs w:val="16"/>
              </w:rPr>
              <w:t>s have previously covered the basics of this topic in year 8 Genetics, and will be familiar with the basic structure of DNA</w:t>
            </w:r>
            <w:r w:rsidR="002047D7">
              <w:rPr>
                <w:rFonts w:ascii="Corbel" w:eastAsia="Corbel" w:hAnsi="Corbel" w:cs="Corbel"/>
                <w:sz w:val="16"/>
                <w:szCs w:val="16"/>
              </w:rPr>
              <w:t>.</w:t>
            </w:r>
          </w:p>
          <w:p w14:paraId="2FA3D9CA" w14:textId="2EF5DD41" w:rsidR="002047D7" w:rsidRDefault="00405AF7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2047D7">
              <w:rPr>
                <w:rFonts w:ascii="Corbel" w:eastAsia="Corbel" w:hAnsi="Corbel" w:cs="Corbel"/>
                <w:sz w:val="16"/>
                <w:szCs w:val="16"/>
              </w:rPr>
              <w:t>s will have previously used Punnett squares, but have not yet discussed inherited disorders.</w:t>
            </w:r>
          </w:p>
          <w:p w14:paraId="3BE6D43A" w14:textId="123B7BF7" w:rsidR="002047D7" w:rsidRDefault="00405AF7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2047D7">
              <w:rPr>
                <w:rFonts w:ascii="Corbel" w:eastAsia="Corbel" w:hAnsi="Corbel" w:cs="Corbel"/>
                <w:sz w:val="16"/>
                <w:szCs w:val="16"/>
              </w:rPr>
              <w:t>s will be familiar with the basic principles of natural selection.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</w:tcPr>
          <w:p w14:paraId="2168979A" w14:textId="5B698117" w:rsidR="004F7049" w:rsidRDefault="00405AF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100545">
              <w:rPr>
                <w:rFonts w:ascii="Corbel" w:eastAsia="Corbel" w:hAnsi="Corbel" w:cs="Corbel"/>
                <w:sz w:val="16"/>
                <w:szCs w:val="16"/>
              </w:rPr>
              <w:t>s have previously covered ecosystems in KS3 geography.</w:t>
            </w:r>
          </w:p>
          <w:p w14:paraId="448CC351" w14:textId="77777777" w:rsidR="00100545" w:rsidRDefault="00100545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72DC221" w14:textId="46BF794A" w:rsidR="00100545" w:rsidRDefault="00100545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From 2024 onwards, they will have covered basic ecosystems content in Year 7.</w:t>
            </w:r>
            <w:r w:rsidR="009D62F7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405AF7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D62F7">
              <w:rPr>
                <w:rFonts w:ascii="Corbel" w:eastAsia="Corbel" w:hAnsi="Corbel" w:cs="Corbel"/>
                <w:sz w:val="16"/>
                <w:szCs w:val="16"/>
              </w:rPr>
              <w:t>s will be able to produce basic food chains and webs.</w:t>
            </w:r>
          </w:p>
          <w:p w14:paraId="617D65AC" w14:textId="77777777" w:rsidR="00100545" w:rsidRDefault="00100545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2B250BA" w14:textId="30C6B4A3" w:rsidR="00100545" w:rsidRDefault="00405AF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100545">
              <w:rPr>
                <w:rFonts w:ascii="Corbel" w:eastAsia="Corbel" w:hAnsi="Corbel" w:cs="Corbel"/>
                <w:sz w:val="16"/>
                <w:szCs w:val="16"/>
              </w:rPr>
              <w:t xml:space="preserve">s will be familiar with </w:t>
            </w:r>
            <w:r w:rsidR="009D62F7">
              <w:rPr>
                <w:rFonts w:ascii="Corbel" w:eastAsia="Corbel" w:hAnsi="Corbel" w:cs="Corbel"/>
                <w:sz w:val="16"/>
                <w:szCs w:val="16"/>
              </w:rPr>
              <w:t>words such as habitat and ecosystems, but may not yet be familiar with principles such as interdependence and predator-prey relationships.</w:t>
            </w:r>
          </w:p>
        </w:tc>
        <w:tc>
          <w:tcPr>
            <w:tcW w:w="4592" w:type="dxa"/>
            <w:shd w:val="clear" w:color="auto" w:fill="C5E0B3" w:themeFill="accent6" w:themeFillTint="66"/>
          </w:tcPr>
          <w:p w14:paraId="2DCFAFDC" w14:textId="4AE2CB91" w:rsidR="00884A30" w:rsidRDefault="00405AF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3A2D6C">
              <w:rPr>
                <w:rFonts w:ascii="Corbel" w:eastAsia="Corbel" w:hAnsi="Corbel" w:cs="Corbel"/>
                <w:sz w:val="16"/>
                <w:szCs w:val="16"/>
              </w:rPr>
              <w:t>s will use this time to revise all KS4 topics, starting from the beginning of year 10.</w:t>
            </w:r>
          </w:p>
          <w:p w14:paraId="139A5EEB" w14:textId="77777777" w:rsidR="003A2D6C" w:rsidRDefault="003A2D6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438289A" w14:textId="4C6D2009" w:rsidR="003A2D6C" w:rsidRDefault="00405AF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3A2D6C">
              <w:rPr>
                <w:rFonts w:ascii="Corbel" w:eastAsia="Corbel" w:hAnsi="Corbel" w:cs="Corbel"/>
                <w:sz w:val="16"/>
                <w:szCs w:val="16"/>
              </w:rPr>
              <w:t>s will complete exam questions and scientific skills activities each lesson, in preparation for exams.</w:t>
            </w:r>
          </w:p>
        </w:tc>
      </w:tr>
      <w:tr w:rsidR="009C1CE0" w14:paraId="439839D4" w14:textId="77777777" w:rsidTr="00F376CC">
        <w:trPr>
          <w:trHeight w:val="1536"/>
        </w:trPr>
        <w:tc>
          <w:tcPr>
            <w:tcW w:w="1506" w:type="dxa"/>
          </w:tcPr>
          <w:p w14:paraId="06621B99" w14:textId="77777777" w:rsidR="009C1CE0" w:rsidRDefault="009C1CE0" w:rsidP="00F376CC">
            <w:pPr>
              <w:rPr>
                <w:rFonts w:ascii="Corbel" w:eastAsia="Corbel" w:hAnsi="Corbel" w:cs="Corbel"/>
                <w:b/>
              </w:rPr>
            </w:pPr>
          </w:p>
          <w:p w14:paraId="7CC9681D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Key Learning Experience / Skills</w:t>
            </w:r>
          </w:p>
          <w:p w14:paraId="55AC0ED4" w14:textId="77777777" w:rsidR="009C1CE0" w:rsidRDefault="009C1CE0" w:rsidP="00F376CC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14:paraId="44C1C33E" w14:textId="2E80B31D" w:rsidR="00225735" w:rsidRDefault="00405AF7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2047D7">
              <w:rPr>
                <w:rFonts w:ascii="Corbel" w:eastAsia="Corbel" w:hAnsi="Corbel" w:cs="Corbel"/>
                <w:sz w:val="16"/>
                <w:szCs w:val="16"/>
              </w:rPr>
              <w:t xml:space="preserve">s will learn how cells divide a reproduce, both sexually to give rise to variation, and asexually for growth and repair.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2047D7">
              <w:rPr>
                <w:rFonts w:ascii="Corbel" w:eastAsia="Corbel" w:hAnsi="Corbel" w:cs="Corbel"/>
                <w:sz w:val="16"/>
                <w:szCs w:val="16"/>
              </w:rPr>
              <w:t xml:space="preserve">s </w:t>
            </w:r>
            <w:r w:rsidR="00C716F6">
              <w:rPr>
                <w:rFonts w:ascii="Corbel" w:eastAsia="Corbel" w:hAnsi="Corbel" w:cs="Corbel"/>
                <w:sz w:val="16"/>
                <w:szCs w:val="16"/>
              </w:rPr>
              <w:t>will become more confident in defining key terms such as allele, dominant and heterozygous, and use this knowledge to complete basic inheritance calculations.</w:t>
            </w:r>
          </w:p>
          <w:p w14:paraId="586BEE66" w14:textId="0F05EB90" w:rsidR="001D7FA6" w:rsidRDefault="00405AF7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1D7FA6">
              <w:rPr>
                <w:rFonts w:ascii="Corbel" w:eastAsia="Corbel" w:hAnsi="Corbel" w:cs="Corbel"/>
                <w:sz w:val="16"/>
                <w:szCs w:val="16"/>
              </w:rPr>
              <w:t>s will learn how organisms are classified, selectively bred, genetically engineered and how they have evolved over time. They will also investigate extinction and fossilisation.</w:t>
            </w:r>
          </w:p>
        </w:tc>
        <w:tc>
          <w:tcPr>
            <w:tcW w:w="4641" w:type="dxa"/>
            <w:gridSpan w:val="3"/>
          </w:tcPr>
          <w:p w14:paraId="3FA5A6D5" w14:textId="0DAEF527" w:rsidR="009C1CE0" w:rsidRDefault="00405AF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D62F7">
              <w:rPr>
                <w:rFonts w:ascii="Corbel" w:eastAsia="Corbel" w:hAnsi="Corbel" w:cs="Corbel"/>
                <w:sz w:val="16"/>
                <w:szCs w:val="16"/>
              </w:rPr>
              <w:t>s will define key terms such as biotic/abiotic, interdependence, ecosystems, communities etc.</w:t>
            </w:r>
          </w:p>
          <w:p w14:paraId="50FE02CF" w14:textId="77777777" w:rsidR="009D62F7" w:rsidRDefault="009D62F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BBE9957" w14:textId="647BB65B" w:rsidR="009D62F7" w:rsidRDefault="00405AF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D62F7">
              <w:rPr>
                <w:rFonts w:ascii="Corbel" w:eastAsia="Corbel" w:hAnsi="Corbel" w:cs="Corbel"/>
                <w:sz w:val="16"/>
                <w:szCs w:val="16"/>
              </w:rPr>
              <w:t>s will be able to build more complex food webs and describe how each organism is affected by population changes.</w:t>
            </w:r>
          </w:p>
          <w:p w14:paraId="1A0D65CA" w14:textId="77777777" w:rsidR="009D62F7" w:rsidRDefault="009D62F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F06BF4B" w14:textId="680F2BB5" w:rsidR="009D62F7" w:rsidRDefault="00405AF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D62F7">
              <w:rPr>
                <w:rFonts w:ascii="Corbel" w:eastAsia="Corbel" w:hAnsi="Corbel" w:cs="Corbel"/>
                <w:sz w:val="16"/>
                <w:szCs w:val="16"/>
              </w:rPr>
              <w:t>s will carry out practical activities to investigate the abundance of species in different habitats.</w:t>
            </w:r>
          </w:p>
        </w:tc>
        <w:tc>
          <w:tcPr>
            <w:tcW w:w="4592" w:type="dxa"/>
          </w:tcPr>
          <w:p w14:paraId="10E5499C" w14:textId="77777777" w:rsidR="00884A30" w:rsidRPr="00884A30" w:rsidRDefault="00884A30" w:rsidP="00884A30">
            <w:pPr>
              <w:rPr>
                <w:rFonts w:ascii="Corbel" w:eastAsia="Corbel" w:hAnsi="Corbel" w:cs="Corbel"/>
                <w:b/>
                <w:sz w:val="16"/>
                <w:szCs w:val="16"/>
                <w:u w:val="single"/>
              </w:rPr>
            </w:pPr>
            <w:r w:rsidRPr="00884A30">
              <w:rPr>
                <w:rFonts w:ascii="Corbel" w:eastAsia="Corbel" w:hAnsi="Corbel" w:cs="Corbel"/>
                <w:b/>
                <w:sz w:val="16"/>
                <w:szCs w:val="16"/>
                <w:u w:val="single"/>
              </w:rPr>
              <w:t>HT4</w:t>
            </w:r>
          </w:p>
          <w:p w14:paraId="4745A356" w14:textId="77777777" w:rsidR="00884A30" w:rsidRDefault="00884A30" w:rsidP="00884A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Cells and Organisation</w:t>
            </w:r>
          </w:p>
          <w:p w14:paraId="559806E3" w14:textId="77777777" w:rsidR="00884A30" w:rsidRDefault="00884A30" w:rsidP="00884A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Infection and Response</w:t>
            </w:r>
          </w:p>
          <w:p w14:paraId="444D1AD7" w14:textId="77777777" w:rsidR="00884A30" w:rsidRPr="00884A30" w:rsidRDefault="00884A30" w:rsidP="00884A30">
            <w:pPr>
              <w:rPr>
                <w:rFonts w:ascii="Corbel" w:eastAsia="Corbel" w:hAnsi="Corbel" w:cs="Corbel"/>
                <w:b/>
                <w:sz w:val="16"/>
                <w:szCs w:val="16"/>
                <w:u w:val="single"/>
              </w:rPr>
            </w:pPr>
            <w:r w:rsidRPr="00884A30">
              <w:rPr>
                <w:rFonts w:ascii="Corbel" w:eastAsia="Corbel" w:hAnsi="Corbel" w:cs="Corbel"/>
                <w:b/>
                <w:sz w:val="16"/>
                <w:szCs w:val="16"/>
                <w:u w:val="single"/>
              </w:rPr>
              <w:t>HT5</w:t>
            </w:r>
          </w:p>
          <w:p w14:paraId="5D0B84EB" w14:textId="77777777" w:rsidR="00884A30" w:rsidRDefault="00884A30" w:rsidP="00884A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Bioenergetics</w:t>
            </w:r>
          </w:p>
          <w:p w14:paraId="1DF70AE8" w14:textId="77777777" w:rsidR="004F7049" w:rsidRDefault="00884A30" w:rsidP="00884A3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Homeostasis</w:t>
            </w:r>
          </w:p>
          <w:p w14:paraId="296A3076" w14:textId="77777777" w:rsidR="002B6FA8" w:rsidRDefault="002B6FA8" w:rsidP="00884A3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9D1F1F6" w14:textId="63DC4A2A" w:rsidR="002B6FA8" w:rsidRDefault="00405AF7" w:rsidP="002B6FA8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2B6FA8">
              <w:rPr>
                <w:rFonts w:ascii="Corbel" w:eastAsia="Corbel" w:hAnsi="Corbel" w:cs="Corbel"/>
                <w:sz w:val="16"/>
                <w:szCs w:val="16"/>
              </w:rPr>
              <w:t>s will recap their knowledge of the above topics, and focus on applying exam technique.</w:t>
            </w:r>
          </w:p>
          <w:p w14:paraId="363C5511" w14:textId="77777777" w:rsidR="002B6FA8" w:rsidRDefault="002B6FA8" w:rsidP="00884A3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9706D3" w14:paraId="26B2CE09" w14:textId="77777777" w:rsidTr="001F363E">
        <w:trPr>
          <w:trHeight w:val="1197"/>
        </w:trPr>
        <w:tc>
          <w:tcPr>
            <w:tcW w:w="1506" w:type="dxa"/>
          </w:tcPr>
          <w:p w14:paraId="41EF4CE3" w14:textId="77777777" w:rsidR="009706D3" w:rsidRDefault="009706D3" w:rsidP="00F376CC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Assessment</w:t>
            </w:r>
          </w:p>
          <w:p w14:paraId="14657643" w14:textId="77777777" w:rsidR="009706D3" w:rsidRDefault="009706D3" w:rsidP="00F376CC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14:paraId="13769AFF" w14:textId="77777777" w:rsidR="009706D3" w:rsidRDefault="009706D3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</w:tcPr>
          <w:p w14:paraId="4824D405" w14:textId="77777777" w:rsidR="009706D3" w:rsidRDefault="009706D3" w:rsidP="009706D3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7E6A42D" w14:textId="77777777" w:rsidR="009706D3" w:rsidRDefault="009706D3" w:rsidP="009706D3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6351C73" w14:textId="0B6B411E" w:rsidR="009706D3" w:rsidRDefault="00405AF7" w:rsidP="009706D3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706D3">
              <w:rPr>
                <w:rFonts w:ascii="Corbel" w:eastAsia="Corbel" w:hAnsi="Corbel" w:cs="Corbel"/>
                <w:sz w:val="16"/>
                <w:szCs w:val="16"/>
              </w:rPr>
              <w:t>s will complete plenary assessment tasks in each lesson.</w:t>
            </w:r>
          </w:p>
          <w:p w14:paraId="6E915A44" w14:textId="77777777" w:rsidR="009706D3" w:rsidRDefault="009706D3" w:rsidP="009706D3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940D185" w14:textId="222A70DC" w:rsidR="009706D3" w:rsidRDefault="00405AF7" w:rsidP="009706D3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706D3">
              <w:rPr>
                <w:rFonts w:ascii="Corbel" w:eastAsia="Corbel" w:hAnsi="Corbel" w:cs="Corbel"/>
                <w:sz w:val="16"/>
                <w:szCs w:val="16"/>
              </w:rPr>
              <w:t>s will complete a mid-topic test and an end-of-topic test for every topic. At this stage, it will largely comprise of exam questions and will focus on fine-tuning exam technique.</w:t>
            </w:r>
          </w:p>
        </w:tc>
      </w:tr>
      <w:tr w:rsidR="009C1CE0" w14:paraId="3EB5B70B" w14:textId="77777777" w:rsidTr="00F376CC">
        <w:tc>
          <w:tcPr>
            <w:tcW w:w="1506" w:type="dxa"/>
            <w:shd w:val="clear" w:color="auto" w:fill="BDD6EE" w:themeFill="accent1" w:themeFillTint="66"/>
          </w:tcPr>
          <w:p w14:paraId="3496E645" w14:textId="77777777" w:rsidR="009C1CE0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CIAG Links</w:t>
            </w:r>
          </w:p>
          <w:p w14:paraId="1C0CA4FC" w14:textId="77777777" w:rsidR="00F376CC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2C2208B4" w14:textId="77777777" w:rsidR="00F376CC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30B49ADD" w14:textId="77777777" w:rsidR="009C1CE0" w:rsidRDefault="009C1CE0" w:rsidP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14:paraId="1BA5CFFA" w14:textId="77777777" w:rsidR="009C1CE0" w:rsidRDefault="003A2D6C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1" w:name="_heading=h.lzj08clgz6j4" w:colFirst="0" w:colLast="0"/>
            <w:bookmarkEnd w:id="1"/>
            <w:r>
              <w:rPr>
                <w:rFonts w:ascii="Corbel" w:eastAsia="Corbel" w:hAnsi="Corbel" w:cs="Corbel"/>
                <w:sz w:val="16"/>
                <w:szCs w:val="16"/>
              </w:rPr>
              <w:t>Medicine, nursing, pharmacology, pharmacy, biotechnology, epidemiology, research, genetic counselling</w:t>
            </w: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14:paraId="43286C6F" w14:textId="77777777" w:rsidR="009C1CE0" w:rsidRDefault="003A2D6C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Conservation biology, marine biology, zoology, environmental biology, botanist/plant scientist</w:t>
            </w:r>
          </w:p>
        </w:tc>
        <w:tc>
          <w:tcPr>
            <w:tcW w:w="4592" w:type="dxa"/>
            <w:shd w:val="clear" w:color="auto" w:fill="BDD6EE" w:themeFill="accent1" w:themeFillTint="66"/>
          </w:tcPr>
          <w:p w14:paraId="00D4A429" w14:textId="77777777" w:rsidR="00326C52" w:rsidRDefault="00326C52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Cells, Organisation and Infection/Response – medicine, pharmacy, pharmacology, nursing, healthcare, teaching</w:t>
            </w:r>
          </w:p>
          <w:p w14:paraId="78AA7775" w14:textId="77777777" w:rsidR="009C1CE0" w:rsidRDefault="00326C52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Bioenergetics – medicine, sport science, nursing, ecology, farming, teaching </w:t>
            </w:r>
            <w:r w:rsidR="005E57FA">
              <w:rPr>
                <w:rFonts w:ascii="Corbel" w:eastAsia="Corbel" w:hAnsi="Corbel" w:cs="Corbel"/>
                <w:sz w:val="16"/>
                <w:szCs w:val="16"/>
              </w:rPr>
              <w:t>Homeostasis - medicine, sport science, pharmacy, pharmacology, nursing, healthcare, teaching</w:t>
            </w:r>
          </w:p>
        </w:tc>
      </w:tr>
      <w:tr w:rsidR="00435BA9" w14:paraId="4282E395" w14:textId="77777777" w:rsidTr="00F376CC">
        <w:tc>
          <w:tcPr>
            <w:tcW w:w="1506" w:type="dxa"/>
            <w:shd w:val="clear" w:color="auto" w:fill="BDD6EE" w:themeFill="accent1" w:themeFillTint="66"/>
          </w:tcPr>
          <w:p w14:paraId="5C3C09D2" w14:textId="77777777" w:rsidR="00435BA9" w:rsidRDefault="00435BA9" w:rsidP="00435BA9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 xml:space="preserve">British Values </w:t>
            </w:r>
          </w:p>
          <w:p w14:paraId="06519B8D" w14:textId="77777777" w:rsidR="00435BA9" w:rsidRDefault="00435BA9" w:rsidP="00435BA9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03C93709" w14:textId="77777777" w:rsidR="00435BA9" w:rsidRDefault="00435BA9" w:rsidP="00435BA9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14:paraId="5950FA55" w14:textId="77777777" w:rsidR="00435BA9" w:rsidRDefault="00435BA9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Democracy, rule of law – use of embryos in therapeutic cloning</w:t>
            </w: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14:paraId="12A07336" w14:textId="77777777" w:rsidR="00435BA9" w:rsidRDefault="00435BA9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Respect, tolerance – respecting the habitats of other organisms</w:t>
            </w:r>
          </w:p>
        </w:tc>
        <w:tc>
          <w:tcPr>
            <w:tcW w:w="4592" w:type="dxa"/>
            <w:shd w:val="clear" w:color="auto" w:fill="BDD6EE" w:themeFill="accent1" w:themeFillTint="66"/>
          </w:tcPr>
          <w:p w14:paraId="30709A69" w14:textId="7E3EB9DF" w:rsidR="00435BA9" w:rsidRDefault="00405AF7" w:rsidP="00435BA9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435BA9">
              <w:rPr>
                <w:rFonts w:ascii="Corbel" w:eastAsia="Corbel" w:hAnsi="Corbel" w:cs="Corbel"/>
                <w:sz w:val="16"/>
                <w:szCs w:val="16"/>
              </w:rPr>
              <w:t>s will consider how scientific theories have not always been immediately accepted, and are impacted by the improper use of tolerance, respect and democracy.</w:t>
            </w:r>
          </w:p>
          <w:p w14:paraId="6AE08608" w14:textId="550C9FB1" w:rsidR="00435BA9" w:rsidRDefault="00405AF7" w:rsidP="00435BA9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435BA9">
              <w:rPr>
                <w:rFonts w:ascii="Corbel" w:eastAsia="Corbel" w:hAnsi="Corbel" w:cs="Corbel"/>
                <w:sz w:val="16"/>
                <w:szCs w:val="16"/>
              </w:rPr>
              <w:t>s will consider how rule of law and liberty play a role in the implementation of new scientific theories in areas such as medicine.</w:t>
            </w:r>
          </w:p>
        </w:tc>
      </w:tr>
      <w:tr w:rsidR="00435BA9" w14:paraId="338AC1E5" w14:textId="77777777">
        <w:tc>
          <w:tcPr>
            <w:tcW w:w="1506" w:type="dxa"/>
          </w:tcPr>
          <w:p w14:paraId="32619C94" w14:textId="77777777" w:rsidR="00435BA9" w:rsidRDefault="00435BA9" w:rsidP="00435BA9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 Numeracy</w:t>
            </w:r>
          </w:p>
        </w:tc>
        <w:tc>
          <w:tcPr>
            <w:tcW w:w="5534" w:type="dxa"/>
            <w:gridSpan w:val="2"/>
          </w:tcPr>
          <w:p w14:paraId="65C09E40" w14:textId="77777777" w:rsidR="00435BA9" w:rsidRDefault="00435BA9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HT1 - Calculating probability in the form of fractions, and converting to percentages.</w:t>
            </w:r>
          </w:p>
          <w:p w14:paraId="2983D7D7" w14:textId="77777777" w:rsidR="00435BA9" w:rsidRDefault="00435BA9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1FC1DBC" w14:textId="77777777" w:rsidR="00435BA9" w:rsidRDefault="00435BA9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HT2 - Calculating area of a space, and calculating abundance of a species within that space. Reading predator-prey relationship graphs.</w:t>
            </w:r>
          </w:p>
        </w:tc>
        <w:tc>
          <w:tcPr>
            <w:tcW w:w="1401" w:type="dxa"/>
          </w:tcPr>
          <w:p w14:paraId="000D8BD8" w14:textId="77777777" w:rsidR="00435BA9" w:rsidRDefault="00435BA9" w:rsidP="00435BA9">
            <w:pPr>
              <w:jc w:val="both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14:paraId="22BA8914" w14:textId="090E97B6" w:rsidR="00435BA9" w:rsidRDefault="00405AF7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435BA9">
              <w:rPr>
                <w:rFonts w:ascii="Corbel" w:eastAsia="Corbel" w:hAnsi="Corbel" w:cs="Corbel"/>
                <w:sz w:val="16"/>
                <w:szCs w:val="16"/>
              </w:rPr>
              <w:t>s will be introduced to more tier-3 vocabulary at this stage.</w:t>
            </w:r>
          </w:p>
          <w:p w14:paraId="6929932A" w14:textId="77777777" w:rsidR="00435BA9" w:rsidRDefault="00435BA9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AFFA3FF" w14:textId="740CEBB0" w:rsidR="00435BA9" w:rsidRDefault="00405AF7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435BA9">
              <w:rPr>
                <w:rFonts w:ascii="Corbel" w:eastAsia="Corbel" w:hAnsi="Corbel" w:cs="Corbel"/>
                <w:sz w:val="16"/>
                <w:szCs w:val="16"/>
              </w:rPr>
              <w:t>s will be expected to keep a glossary of key terms for each topic.</w:t>
            </w:r>
          </w:p>
          <w:p w14:paraId="3C436380" w14:textId="77777777" w:rsidR="00435BA9" w:rsidRDefault="00435BA9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04CF4B4" w14:textId="4B8BCDB0" w:rsidR="00435BA9" w:rsidRDefault="00405AF7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435BA9">
              <w:rPr>
                <w:rFonts w:ascii="Corbel" w:eastAsia="Corbel" w:hAnsi="Corbel" w:cs="Corbel"/>
                <w:sz w:val="16"/>
                <w:szCs w:val="16"/>
              </w:rPr>
              <w:t>s will complete exam questions in every lesson, and will be taught to pull apart long-stem questions to achieve maximum marks.</w:t>
            </w:r>
          </w:p>
          <w:p w14:paraId="235450A5" w14:textId="77777777" w:rsidR="00435BA9" w:rsidRDefault="00435BA9" w:rsidP="00435BA9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4A686B5" w14:textId="77777777" w:rsidR="00435BA9" w:rsidRDefault="00435BA9" w:rsidP="00435BA9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lastRenderedPageBreak/>
              <w:tab/>
            </w:r>
          </w:p>
        </w:tc>
      </w:tr>
      <w:tr w:rsidR="00435BA9" w14:paraId="1720FB68" w14:textId="77777777">
        <w:tc>
          <w:tcPr>
            <w:tcW w:w="15278" w:type="dxa"/>
            <w:gridSpan w:val="6"/>
          </w:tcPr>
          <w:p w14:paraId="6D3D36A5" w14:textId="77777777" w:rsidR="00435BA9" w:rsidRDefault="00435BA9" w:rsidP="0043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435BA9" w14:paraId="4F480CAC" w14:textId="77777777">
              <w:tc>
                <w:tcPr>
                  <w:tcW w:w="15032" w:type="dxa"/>
                </w:tcPr>
                <w:p w14:paraId="60664A94" w14:textId="43C3FC10" w:rsidR="00435BA9" w:rsidRDefault="00435BA9" w:rsidP="00435B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 xml:space="preserve">The Hub Vision – A School that provides all </w:t>
                  </w:r>
                  <w:r w:rsidR="00405AF7"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pupil</w:t>
                  </w: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s with exciting opportunities that build confidence, develop social skills and promote academic achievement</w:t>
                  </w:r>
                </w:p>
              </w:tc>
            </w:tr>
          </w:tbl>
          <w:p w14:paraId="1A1AF475" w14:textId="77777777" w:rsidR="00435BA9" w:rsidRDefault="00435BA9" w:rsidP="00435BA9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14:paraId="67598285" w14:textId="77777777" w:rsidR="009C1CE0" w:rsidRDefault="009C1CE0">
      <w:pPr>
        <w:rPr>
          <w:sz w:val="12"/>
          <w:szCs w:val="12"/>
        </w:rPr>
      </w:pPr>
    </w:p>
    <w:sectPr w:rsidR="009C1CE0">
      <w:headerReference w:type="default" r:id="rId7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DC41" w14:textId="77777777" w:rsidR="007E2644" w:rsidRDefault="007E2644" w:rsidP="007E2644">
      <w:pPr>
        <w:spacing w:after="0" w:line="240" w:lineRule="auto"/>
      </w:pPr>
      <w:r>
        <w:separator/>
      </w:r>
    </w:p>
  </w:endnote>
  <w:endnote w:type="continuationSeparator" w:id="0">
    <w:p w14:paraId="523C961F" w14:textId="77777777" w:rsidR="007E2644" w:rsidRDefault="007E2644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5DB8" w14:textId="77777777" w:rsidR="007E2644" w:rsidRDefault="007E2644" w:rsidP="007E2644">
      <w:pPr>
        <w:spacing w:after="0" w:line="240" w:lineRule="auto"/>
      </w:pPr>
      <w:r>
        <w:separator/>
      </w:r>
    </w:p>
  </w:footnote>
  <w:footnote w:type="continuationSeparator" w:id="0">
    <w:p w14:paraId="651B0BDF" w14:textId="77777777" w:rsidR="007E2644" w:rsidRDefault="007E2644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A97C" w14:textId="77777777"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2E790A64" wp14:editId="74906AE7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="00F40C9F" w:rsidRPr="00F40C9F">
      <w:rPr>
        <w:b/>
        <w:sz w:val="28"/>
        <w:szCs w:val="28"/>
      </w:rPr>
      <w:t>Subject:</w:t>
    </w:r>
    <w:r w:rsidR="00225735">
      <w:rPr>
        <w:b/>
        <w:sz w:val="28"/>
        <w:szCs w:val="28"/>
      </w:rPr>
      <w:t xml:space="preserve"> Science</w:t>
    </w:r>
    <w:r w:rsidR="00A2102F">
      <w:t xml:space="preserve">             </w:t>
    </w:r>
    <w:r w:rsidR="00A2102F" w:rsidRPr="00F40C9F">
      <w:rPr>
        <w:b/>
        <w:sz w:val="28"/>
        <w:szCs w:val="28"/>
      </w:rPr>
      <w:t xml:space="preserve">                            </w:t>
    </w:r>
    <w:r w:rsidR="00A2102F" w:rsidRPr="00F40C9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  <w:r w:rsidR="00225735">
      <w:rPr>
        <w:b/>
        <w:sz w:val="28"/>
        <w:szCs w:val="28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00545"/>
    <w:rsid w:val="00161BE2"/>
    <w:rsid w:val="001D7FA6"/>
    <w:rsid w:val="002047D7"/>
    <w:rsid w:val="00225735"/>
    <w:rsid w:val="00285B47"/>
    <w:rsid w:val="002B6FA8"/>
    <w:rsid w:val="00326C52"/>
    <w:rsid w:val="003A2D6C"/>
    <w:rsid w:val="00405AF7"/>
    <w:rsid w:val="00435BA9"/>
    <w:rsid w:val="004845FE"/>
    <w:rsid w:val="004B4740"/>
    <w:rsid w:val="004F7049"/>
    <w:rsid w:val="00556F11"/>
    <w:rsid w:val="005757FE"/>
    <w:rsid w:val="005A55CF"/>
    <w:rsid w:val="005E57FA"/>
    <w:rsid w:val="007E2644"/>
    <w:rsid w:val="00843D58"/>
    <w:rsid w:val="00884A30"/>
    <w:rsid w:val="009706D3"/>
    <w:rsid w:val="009C1CE0"/>
    <w:rsid w:val="009D62F7"/>
    <w:rsid w:val="00A2102F"/>
    <w:rsid w:val="00B66D26"/>
    <w:rsid w:val="00B97D44"/>
    <w:rsid w:val="00C03F0B"/>
    <w:rsid w:val="00C24A43"/>
    <w:rsid w:val="00C716F6"/>
    <w:rsid w:val="00CC7E80"/>
    <w:rsid w:val="00CE1617"/>
    <w:rsid w:val="00D91562"/>
    <w:rsid w:val="00F376CC"/>
    <w:rsid w:val="00F40C9F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606F10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112F05E-FFAD-4F3A-9E03-19CC920D4F3C}"/>
</file>

<file path=customXml/itemProps3.xml><?xml version="1.0" encoding="utf-8"?>
<ds:datastoreItem xmlns:ds="http://schemas.openxmlformats.org/officeDocument/2006/customXml" ds:itemID="{02823A95-50F4-41FC-AFD8-3B46429FE537}"/>
</file>

<file path=customXml/itemProps4.xml><?xml version="1.0" encoding="utf-8"?>
<ds:datastoreItem xmlns:ds="http://schemas.openxmlformats.org/officeDocument/2006/customXml" ds:itemID="{91CB8B98-300A-4C42-BCC1-C1B3896DE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Ebony Houghton (HUB)</cp:lastModifiedBy>
  <cp:revision>18</cp:revision>
  <cp:lastPrinted>2024-02-19T12:23:00Z</cp:lastPrinted>
  <dcterms:created xsi:type="dcterms:W3CDTF">2024-02-20T13:09:00Z</dcterms:created>
  <dcterms:modified xsi:type="dcterms:W3CDTF">2025-09-08T09:01:00Z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</Properties>
</file>