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A6D3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 w14:paraId="39FD38C8" w14:textId="77777777">
        <w:tc>
          <w:tcPr>
            <w:tcW w:w="15278" w:type="dxa"/>
            <w:gridSpan w:val="6"/>
          </w:tcPr>
          <w:p w14:paraId="7925CB82" w14:textId="77777777"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 w14:paraId="64EB40F9" w14:textId="77777777">
        <w:trPr>
          <w:trHeight w:val="417"/>
        </w:trPr>
        <w:tc>
          <w:tcPr>
            <w:tcW w:w="1506" w:type="dxa"/>
          </w:tcPr>
          <w:p w14:paraId="4278228E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15D26985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14:paraId="4426D52E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14:paraId="20CD1297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</w:p>
          <w:p w14:paraId="764EEC44" w14:textId="77777777"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14:paraId="4CCADC7F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14:paraId="1D79CE47" w14:textId="77777777"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B66D26" w14:paraId="60B1E9E0" w14:textId="77777777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14:paraId="30287FBA" w14:textId="77777777" w:rsidR="00B66D26" w:rsidRDefault="00C03F0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</w:t>
            </w:r>
            <w:r w:rsidR="00F376CC">
              <w:rPr>
                <w:rFonts w:ascii="Corbel" w:eastAsia="Corbel" w:hAnsi="Corbel" w:cs="Corbel"/>
                <w:b/>
              </w:rPr>
              <w:t>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14:paraId="1CB8D24C" w14:textId="409461AD" w:rsidR="00B66D26" w:rsidRDefault="0054129D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 xml:space="preserve">s have previously covered “dead, alive, never been alive” content </w:t>
            </w:r>
            <w:r w:rsidR="008C2454">
              <w:rPr>
                <w:rFonts w:ascii="Corbel" w:eastAsia="Corbel" w:hAnsi="Corbel" w:cs="Corbel"/>
                <w:sz w:val="16"/>
                <w:szCs w:val="16"/>
              </w:rPr>
              <w:t>in our primary curriculum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>. They will be familiar with the idea that we are made up of cells, and the basic necessities for life. They will have some previous knowledge of the digestive system.</w:t>
            </w:r>
          </w:p>
          <w:p w14:paraId="79686B46" w14:textId="77777777" w:rsidR="0095088E" w:rsidRDefault="0095088E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5E84914" w14:textId="6F258BBC" w:rsidR="0095088E" w:rsidRDefault="0054129D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>s will not yet have covered any content on atoms, elements and compounds, but may be able to describe what is meant by solid, liquid and gas and give examples.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14:paraId="2B48466E" w14:textId="4420FCFE" w:rsidR="00B66D26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>s will be familiar with the planets, and some will be able to name them in the correct order.</w:t>
            </w:r>
          </w:p>
          <w:p w14:paraId="0EC2AC5A" w14:textId="77777777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D5AA99F" w14:textId="6688F05A" w:rsidR="0095088E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>s will not have previously covered any energy content, but should be able to use the word “energy” in the context of food and behaviour.</w:t>
            </w:r>
          </w:p>
          <w:p w14:paraId="7A2A2A0D" w14:textId="77777777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C51406E" w14:textId="77777777" w:rsidR="0095088E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>s will have covered some reproduction content in primary school and some will be able to name parts of the male and female reproductive system.</w:t>
            </w:r>
          </w:p>
          <w:p w14:paraId="6720AF48" w14:textId="77777777" w:rsidR="008C2454" w:rsidRDefault="008C2454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E9C2723" w14:textId="06EAB317" w:rsidR="008C2454" w:rsidRDefault="008C2454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Students have covered the Living Things topic in our primary curriculum.</w:t>
            </w:r>
          </w:p>
        </w:tc>
        <w:tc>
          <w:tcPr>
            <w:tcW w:w="4592" w:type="dxa"/>
            <w:shd w:val="clear" w:color="auto" w:fill="C5E0B3" w:themeFill="accent6" w:themeFillTint="66"/>
          </w:tcPr>
          <w:p w14:paraId="079651A5" w14:textId="7AF022BE" w:rsidR="00B66D26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>s have not previously covered acid and alkali content, but will be able to describe a range of household items and foods which fit into these categories.</w:t>
            </w:r>
          </w:p>
          <w:p w14:paraId="2CC6D7F2" w14:textId="77777777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35730CF" w14:textId="352BBAAB" w:rsidR="0095088E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 xml:space="preserve">s will be able to link their knowledge of household items such as a sieve to describe what it meant by filtration.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>s have previously covered evaporation in the water cycle.</w:t>
            </w:r>
          </w:p>
          <w:p w14:paraId="22F8637F" w14:textId="77777777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E0DC100" w14:textId="7981284A" w:rsidR="00930BC2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Most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>
              <w:rPr>
                <w:rFonts w:ascii="Corbel" w:eastAsia="Corbel" w:hAnsi="Corbel" w:cs="Corbel"/>
                <w:sz w:val="16"/>
                <w:szCs w:val="16"/>
              </w:rPr>
              <w:t>s will have covered some forces content before, and should be able to describe/demonstrate a range of forces. Most will not yet be able to use accurate terminology, and will likely refer to all forces as “push and pull”.</w:t>
            </w:r>
          </w:p>
        </w:tc>
      </w:tr>
      <w:tr w:rsidR="009C1CE0" w14:paraId="4B61822D" w14:textId="77777777" w:rsidTr="00F376CC">
        <w:trPr>
          <w:trHeight w:val="1536"/>
        </w:trPr>
        <w:tc>
          <w:tcPr>
            <w:tcW w:w="1506" w:type="dxa"/>
          </w:tcPr>
          <w:p w14:paraId="24661E27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  <w:p w14:paraId="7C9F8798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14:paraId="0F21D2B9" w14:textId="77777777" w:rsidR="009C1CE0" w:rsidRDefault="009C1CE0" w:rsidP="00F376CC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14:paraId="1C2B0339" w14:textId="1DFD0E65" w:rsidR="0054129D" w:rsidRDefault="0054129D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Intro to Science – Pupils complete their safety training which will allow them to complete science </w:t>
            </w:r>
            <w:proofErr w:type="spellStart"/>
            <w:r>
              <w:rPr>
                <w:rFonts w:ascii="Corbel" w:eastAsia="Corbel" w:hAnsi="Corbel" w:cs="Corbel"/>
                <w:sz w:val="16"/>
                <w:szCs w:val="16"/>
              </w:rPr>
              <w:t>practicals</w:t>
            </w:r>
            <w:proofErr w:type="spellEnd"/>
            <w:r>
              <w:rPr>
                <w:rFonts w:ascii="Corbel" w:eastAsia="Corbel" w:hAnsi="Corbel" w:cs="Corbel"/>
                <w:sz w:val="16"/>
                <w:szCs w:val="16"/>
              </w:rPr>
              <w:t xml:space="preserve"> independently, including completing their “Bunsen Burner Licence”.</w:t>
            </w:r>
          </w:p>
          <w:p w14:paraId="363ACF64" w14:textId="77777777" w:rsidR="0054129D" w:rsidRDefault="0054129D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F9DCA77" w14:textId="5F4AF222" w:rsidR="009C1CE0" w:rsidRDefault="00B97741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Cells –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C3481">
              <w:rPr>
                <w:rFonts w:ascii="Corbel" w:eastAsia="Corbel" w:hAnsi="Corbel" w:cs="Corbel"/>
                <w:sz w:val="16"/>
                <w:szCs w:val="16"/>
              </w:rPr>
              <w:t xml:space="preserve">s will be able to draw and label animal and plant cells, stating the function of each organelle.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C3481">
              <w:rPr>
                <w:rFonts w:ascii="Corbel" w:eastAsia="Corbel" w:hAnsi="Corbel" w:cs="Corbel"/>
                <w:sz w:val="16"/>
                <w:szCs w:val="16"/>
              </w:rPr>
              <w:t>s will be able to identify a range of specialised cells.</w:t>
            </w:r>
          </w:p>
          <w:p w14:paraId="036D071C" w14:textId="77777777" w:rsidR="00B97741" w:rsidRDefault="00B97741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8B6626A" w14:textId="5425DA80" w:rsidR="00B97741" w:rsidRDefault="00B97741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Organisation –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C3481">
              <w:rPr>
                <w:rFonts w:ascii="Corbel" w:eastAsia="Corbel" w:hAnsi="Corbel" w:cs="Corbel"/>
                <w:sz w:val="16"/>
                <w:szCs w:val="16"/>
              </w:rPr>
              <w:t>s will be able to describe the eight major organ systems in the human body, and name organs within the systems.</w:t>
            </w:r>
          </w:p>
          <w:p w14:paraId="57EA3A8C" w14:textId="77777777" w:rsidR="00B97741" w:rsidRDefault="00B97741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FD4F5FC" w14:textId="609CAD04" w:rsidR="00B97741" w:rsidRDefault="00B97741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Solids, Liquids and Gases –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C3481">
              <w:rPr>
                <w:rFonts w:ascii="Corbel" w:eastAsia="Corbel" w:hAnsi="Corbel" w:cs="Corbel"/>
                <w:sz w:val="16"/>
                <w:szCs w:val="16"/>
              </w:rPr>
              <w:t>s will be able to accurately identify given substances as solid, liquid or gas and describe the properties and particle arrangements of such substances.</w:t>
            </w:r>
          </w:p>
          <w:p w14:paraId="37ED9851" w14:textId="77777777" w:rsidR="00B97741" w:rsidRDefault="00B97741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0F9381D" w14:textId="0DEA211B" w:rsidR="00B97741" w:rsidRDefault="00B97741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Atoms, Elements and Compounds </w:t>
            </w:r>
            <w:r w:rsidR="00FC3481">
              <w:rPr>
                <w:rFonts w:ascii="Corbel" w:eastAsia="Corbel" w:hAnsi="Corbel" w:cs="Corbel"/>
                <w:sz w:val="16"/>
                <w:szCs w:val="16"/>
              </w:rPr>
              <w:t>–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C3481">
              <w:rPr>
                <w:rFonts w:ascii="Corbel" w:eastAsia="Corbel" w:hAnsi="Corbel" w:cs="Corbel"/>
                <w:sz w:val="16"/>
                <w:szCs w:val="16"/>
              </w:rPr>
              <w:t xml:space="preserve">s will state that all matter is made up of atoms, and will be able to draw accurate diagrams to depict this.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FC3481">
              <w:rPr>
                <w:rFonts w:ascii="Corbel" w:eastAsia="Corbel" w:hAnsi="Corbel" w:cs="Corbel"/>
                <w:sz w:val="16"/>
                <w:szCs w:val="16"/>
              </w:rPr>
              <w:t>s will be able to identify a range of substances as either elements or compounds.</w:t>
            </w:r>
          </w:p>
        </w:tc>
        <w:tc>
          <w:tcPr>
            <w:tcW w:w="4641" w:type="dxa"/>
            <w:gridSpan w:val="3"/>
          </w:tcPr>
          <w:p w14:paraId="11084DA3" w14:textId="2E443854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Energy –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35E3F">
              <w:rPr>
                <w:rFonts w:ascii="Corbel" w:eastAsia="Corbel" w:hAnsi="Corbel" w:cs="Corbel"/>
                <w:sz w:val="16"/>
                <w:szCs w:val="16"/>
              </w:rPr>
              <w:t xml:space="preserve">s will state the energy stores and energy transfer pathways, and give examples of each.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35E3F">
              <w:rPr>
                <w:rFonts w:ascii="Corbel" w:eastAsia="Corbel" w:hAnsi="Corbel" w:cs="Corbel"/>
                <w:sz w:val="16"/>
                <w:szCs w:val="16"/>
              </w:rPr>
              <w:t>s will carry out a range of practical tasks to demonstrate energy transfers in action.</w:t>
            </w:r>
          </w:p>
          <w:p w14:paraId="06971F3D" w14:textId="77777777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6526407" w14:textId="5C055D6F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Reproduction </w:t>
            </w:r>
            <w:r w:rsidR="00235E3F">
              <w:rPr>
                <w:rFonts w:ascii="Corbel" w:eastAsia="Corbel" w:hAnsi="Corbel" w:cs="Corbel"/>
                <w:sz w:val="16"/>
                <w:szCs w:val="16"/>
              </w:rPr>
              <w:t>–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235E3F">
              <w:rPr>
                <w:rFonts w:ascii="Corbel" w:eastAsia="Corbel" w:hAnsi="Corbel" w:cs="Corbel"/>
                <w:sz w:val="16"/>
                <w:szCs w:val="16"/>
              </w:rPr>
              <w:t>s will be able to name the parts of the male and female reproductive systems and the specialised cells produced by both.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 xml:space="preserve">s will be able to describe how an egg is fertilised and how this develops into an embryo.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>s will be able to describe the changes that take place during puberty, and the stages of the menstrual cycle.</w:t>
            </w:r>
          </w:p>
          <w:p w14:paraId="629D5821" w14:textId="77777777" w:rsidR="0054129D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E962366" w14:textId="23DB9D7C" w:rsidR="0054129D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Ecosystems – Pupils will be able to accurately describe the key components of a food chain such as producers, consumers, carnivores, herbivores etc. Pupils will be able to independently build their own food chains and food webs. </w:t>
            </w:r>
            <w:r w:rsidR="00367801">
              <w:rPr>
                <w:rFonts w:ascii="Corbel" w:eastAsia="Corbel" w:hAnsi="Corbel" w:cs="Corbel"/>
                <w:sz w:val="16"/>
                <w:szCs w:val="16"/>
              </w:rPr>
              <w:t>Pupils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will be able to describe how organisms are dependent on each other and how they contribute to their ecosystem. Pupils will describe adaptation, giving examples of predator-prey relationships. </w:t>
            </w:r>
          </w:p>
        </w:tc>
        <w:tc>
          <w:tcPr>
            <w:tcW w:w="4592" w:type="dxa"/>
          </w:tcPr>
          <w:p w14:paraId="10D901C2" w14:textId="60360F69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Acids and Alkalis –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 xml:space="preserve">s will be able to categorise a range of substances into acid, neutral or alkali.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>s will carry out a range of tests to determine the pH of a given substance.</w:t>
            </w:r>
          </w:p>
          <w:p w14:paraId="70253322" w14:textId="77777777" w:rsidR="00944E4D" w:rsidRDefault="00944E4D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E27A060" w14:textId="584890EE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Separation Techniques –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>s will describe and carry out a range of practical activities to separate mixtures.</w:t>
            </w:r>
          </w:p>
          <w:p w14:paraId="31407AFC" w14:textId="77777777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1BAF5E8" w14:textId="5CAD0A48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Forces –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 xml:space="preserve">s will describe a range of forces, and carry out practical activities to test the effects of a given force on an object.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>s will carry out calculations and present their data appropriately.</w:t>
            </w:r>
          </w:p>
          <w:p w14:paraId="4C788F63" w14:textId="77777777" w:rsidR="0095088E" w:rsidRDefault="0095088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8219518" w14:textId="3F26358D" w:rsidR="0095088E" w:rsidRDefault="00367801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Seeing and Hearing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>–</w:t>
            </w:r>
            <w:r w:rsidR="0095088E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54129D"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944E4D">
              <w:rPr>
                <w:rFonts w:ascii="Corbel" w:eastAsia="Corbel" w:hAnsi="Corbel" w:cs="Corbel"/>
                <w:sz w:val="16"/>
                <w:szCs w:val="16"/>
              </w:rPr>
              <w:t xml:space="preserve">s will describe the different types of </w:t>
            </w:r>
            <w:proofErr w:type="gramStart"/>
            <w:r w:rsidR="00944E4D">
              <w:rPr>
                <w:rFonts w:ascii="Corbel" w:eastAsia="Corbel" w:hAnsi="Corbel" w:cs="Corbel"/>
                <w:sz w:val="16"/>
                <w:szCs w:val="16"/>
              </w:rPr>
              <w:t>wave</w:t>
            </w:r>
            <w:proofErr w:type="gramEnd"/>
            <w:r w:rsidR="00944E4D">
              <w:rPr>
                <w:rFonts w:ascii="Corbel" w:eastAsia="Corbel" w:hAnsi="Corbel" w:cs="Corbel"/>
                <w:sz w:val="16"/>
                <w:szCs w:val="16"/>
              </w:rPr>
              <w:t xml:space="preserve"> and carry out practical tasks to investigate translucent, transparent and opaque materials.</w:t>
            </w:r>
          </w:p>
        </w:tc>
      </w:tr>
      <w:tr w:rsidR="00BB5FAD" w14:paraId="697A45E0" w14:textId="77777777" w:rsidTr="004C4BBC">
        <w:trPr>
          <w:trHeight w:val="1197"/>
        </w:trPr>
        <w:tc>
          <w:tcPr>
            <w:tcW w:w="1506" w:type="dxa"/>
          </w:tcPr>
          <w:p w14:paraId="76CBC49F" w14:textId="77777777" w:rsidR="00BB5FAD" w:rsidRDefault="00BB5FAD" w:rsidP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14:paraId="02430485" w14:textId="77777777" w:rsidR="00BB5FAD" w:rsidRDefault="00BB5FAD" w:rsidP="00F376CC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6011266D" w14:textId="77777777" w:rsidR="00BB5FAD" w:rsidRDefault="00BB5FAD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</w:tcPr>
          <w:p w14:paraId="0CFC01B7" w14:textId="77777777" w:rsidR="00235E3F" w:rsidRDefault="00235E3F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ADA72FE" w14:textId="34557BDE" w:rsidR="00BB5FAD" w:rsidRDefault="0054129D" w:rsidP="00BB5FAD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BB5FAD">
              <w:rPr>
                <w:rFonts w:ascii="Corbel" w:eastAsia="Corbel" w:hAnsi="Corbel" w:cs="Corbel"/>
                <w:sz w:val="16"/>
                <w:szCs w:val="16"/>
              </w:rPr>
              <w:t>s will complete plenary tasks in every lesson, mid-topic assessments at the halfway point in each topic, and end-of-topic tests once per topic.</w:t>
            </w:r>
          </w:p>
        </w:tc>
      </w:tr>
      <w:tr w:rsidR="009C1CE0" w14:paraId="65CEE1E0" w14:textId="77777777" w:rsidTr="00F376CC">
        <w:tc>
          <w:tcPr>
            <w:tcW w:w="1506" w:type="dxa"/>
            <w:shd w:val="clear" w:color="auto" w:fill="BDD6EE" w:themeFill="accent1" w:themeFillTint="66"/>
          </w:tcPr>
          <w:p w14:paraId="12D786C8" w14:textId="77777777" w:rsidR="009C1CE0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14:paraId="715A696A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348B01A4" w14:textId="77777777" w:rsidR="00F376CC" w:rsidRDefault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53CACD6A" w14:textId="77777777" w:rsidR="009C1CE0" w:rsidRDefault="009C1CE0" w:rsidP="00F376CC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14:paraId="2637375F" w14:textId="77777777" w:rsidR="009C1CE0" w:rsidRDefault="00E9606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 w:colFirst="0" w:colLast="0"/>
            <w:bookmarkEnd w:id="1"/>
            <w:r>
              <w:rPr>
                <w:rFonts w:ascii="Corbel" w:eastAsia="Corbel" w:hAnsi="Corbel" w:cs="Corbel"/>
                <w:sz w:val="16"/>
                <w:szCs w:val="16"/>
              </w:rPr>
              <w:t>Cells and organisation – medicine, nursing, healthcare, teaching</w:t>
            </w:r>
          </w:p>
          <w:p w14:paraId="2F540583" w14:textId="77777777" w:rsidR="00E96060" w:rsidRDefault="00E9606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5644FCD" w14:textId="77777777" w:rsidR="00E96060" w:rsidRDefault="00E96060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SLG and AEC </w:t>
            </w:r>
            <w:r w:rsidR="00065077">
              <w:rPr>
                <w:rFonts w:ascii="Corbel" w:eastAsia="Corbel" w:hAnsi="Corbel" w:cs="Corbel"/>
                <w:sz w:val="16"/>
                <w:szCs w:val="16"/>
              </w:rPr>
              <w:t>–</w:t>
            </w:r>
            <w:r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065077">
              <w:rPr>
                <w:rFonts w:ascii="Corbel" w:eastAsia="Corbel" w:hAnsi="Corbel" w:cs="Corbel"/>
                <w:sz w:val="16"/>
                <w:szCs w:val="16"/>
              </w:rPr>
              <w:t>formulation chemistry, pharmacology, teaching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14:paraId="345643D0" w14:textId="77777777" w:rsidR="009C1CE0" w:rsidRDefault="0006507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Space and energy – physicist, astrophysicist, aeronautical engineering, teaching</w:t>
            </w:r>
          </w:p>
          <w:p w14:paraId="6C746252" w14:textId="77777777" w:rsidR="00065077" w:rsidRDefault="0006507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7ECC2DF" w14:textId="77777777" w:rsidR="00065077" w:rsidRDefault="00065077" w:rsidP="004845FE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Reproduction - medicine, nursing, healthcare, teaching</w:t>
            </w:r>
          </w:p>
        </w:tc>
        <w:tc>
          <w:tcPr>
            <w:tcW w:w="4592" w:type="dxa"/>
            <w:shd w:val="clear" w:color="auto" w:fill="BDD6EE" w:themeFill="accent1" w:themeFillTint="66"/>
          </w:tcPr>
          <w:p w14:paraId="60FCD22E" w14:textId="77777777" w:rsidR="009C1CE0" w:rsidRDefault="0006507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Acids and Alkalis and Separation Techniques – formulation chemistry, colour chemistry, criminology/forensic chemistry, police, teaching</w:t>
            </w:r>
          </w:p>
          <w:p w14:paraId="5E182180" w14:textId="77777777" w:rsidR="00065077" w:rsidRDefault="0006507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ECA0FD4" w14:textId="77777777" w:rsidR="00065077" w:rsidRDefault="00065077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08CE1A2D" w14:textId="77777777" w:rsidR="00065077" w:rsidRDefault="00065077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Forces and Light and Sound – physicist, teaching</w:t>
            </w:r>
            <w:r w:rsidR="00663A62">
              <w:rPr>
                <w:rFonts w:ascii="Corbel" w:eastAsia="Corbel" w:hAnsi="Corbel" w:cs="Corbel"/>
                <w:sz w:val="16"/>
                <w:szCs w:val="16"/>
              </w:rPr>
              <w:t>, optician</w:t>
            </w:r>
          </w:p>
        </w:tc>
      </w:tr>
      <w:tr w:rsidR="00663A62" w14:paraId="36A633D6" w14:textId="77777777" w:rsidTr="005E1672">
        <w:tc>
          <w:tcPr>
            <w:tcW w:w="1506" w:type="dxa"/>
            <w:shd w:val="clear" w:color="auto" w:fill="BDD6EE" w:themeFill="accent1" w:themeFillTint="66"/>
          </w:tcPr>
          <w:p w14:paraId="4CBC2AB0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14:paraId="69BE7362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</w:p>
          <w:p w14:paraId="4A5D6173" w14:textId="77777777" w:rsidR="00663A62" w:rsidRDefault="00663A62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14:paraId="7B70535D" w14:textId="4C8017BA" w:rsidR="00663A62" w:rsidRDefault="0054129D" w:rsidP="00663A62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lastRenderedPageBreak/>
              <w:t>Pupil</w:t>
            </w:r>
            <w:r w:rsidR="00663A62">
              <w:rPr>
                <w:rFonts w:ascii="Corbel" w:eastAsia="Corbel" w:hAnsi="Corbel" w:cs="Corbel"/>
                <w:sz w:val="16"/>
                <w:szCs w:val="16"/>
              </w:rPr>
              <w:t>s will consider how scientific theories have not always been immediately accepted, and are impacted by the improper use of tolerance, respect and democracy.</w:t>
            </w:r>
          </w:p>
          <w:p w14:paraId="1F3B07C8" w14:textId="4F49AD8C" w:rsidR="00663A62" w:rsidRDefault="0054129D" w:rsidP="00663A62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663A62">
              <w:rPr>
                <w:rFonts w:ascii="Corbel" w:eastAsia="Corbel" w:hAnsi="Corbel" w:cs="Corbel"/>
                <w:sz w:val="16"/>
                <w:szCs w:val="16"/>
              </w:rPr>
              <w:t>s will consider how rule of law and liberty play a role in the implementation of new scientific theories in areas such as medicine.</w:t>
            </w:r>
          </w:p>
        </w:tc>
      </w:tr>
      <w:tr w:rsidR="009C1CE0" w14:paraId="5A81E183" w14:textId="77777777">
        <w:tc>
          <w:tcPr>
            <w:tcW w:w="1506" w:type="dxa"/>
          </w:tcPr>
          <w:p w14:paraId="211F6AB7" w14:textId="77777777" w:rsidR="009C1CE0" w:rsidRDefault="00556F11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 Numeracy</w:t>
            </w:r>
          </w:p>
        </w:tc>
        <w:tc>
          <w:tcPr>
            <w:tcW w:w="5534" w:type="dxa"/>
            <w:gridSpan w:val="2"/>
          </w:tcPr>
          <w:p w14:paraId="4D4DBD61" w14:textId="37080058" w:rsidR="009C1CE0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25A6A">
              <w:rPr>
                <w:rFonts w:ascii="Corbel" w:eastAsia="Corbel" w:hAnsi="Corbel" w:cs="Corbel"/>
                <w:sz w:val="16"/>
                <w:szCs w:val="16"/>
              </w:rPr>
              <w:t>s will be expected to draw graphs and carry out simple equations throughout the energy and forces topics.</w:t>
            </w:r>
          </w:p>
        </w:tc>
        <w:tc>
          <w:tcPr>
            <w:tcW w:w="1401" w:type="dxa"/>
          </w:tcPr>
          <w:p w14:paraId="3A671658" w14:textId="77777777" w:rsidR="009C1CE0" w:rsidRDefault="00556F11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14:paraId="1FD0FB39" w14:textId="06FA8BA3" w:rsidR="009C1CE0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25A6A">
              <w:rPr>
                <w:rFonts w:ascii="Corbel" w:eastAsia="Corbel" w:hAnsi="Corbel" w:cs="Corbel"/>
                <w:sz w:val="16"/>
                <w:szCs w:val="16"/>
              </w:rPr>
              <w:t xml:space="preserve">s will use glossaries to aid with the high-demand vocabulary in the biology topics. </w:t>
            </w: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025A6A">
              <w:rPr>
                <w:rFonts w:ascii="Corbel" w:eastAsia="Corbel" w:hAnsi="Corbel" w:cs="Corbel"/>
                <w:sz w:val="16"/>
                <w:szCs w:val="16"/>
              </w:rPr>
              <w:t xml:space="preserve">s will complete a range of </w:t>
            </w:r>
            <w:r w:rsidR="00A90C2F">
              <w:rPr>
                <w:rFonts w:ascii="Corbel" w:eastAsia="Corbel" w:hAnsi="Corbel" w:cs="Corbel"/>
                <w:sz w:val="16"/>
                <w:szCs w:val="16"/>
              </w:rPr>
              <w:t>assessment questions with mixed literacy demand.</w:t>
            </w:r>
          </w:p>
          <w:p w14:paraId="2F427799" w14:textId="209AD36B" w:rsidR="008B4B68" w:rsidRDefault="0054129D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Pupil</w:t>
            </w:r>
            <w:r w:rsidR="008B4B68">
              <w:rPr>
                <w:rFonts w:ascii="Corbel" w:eastAsia="Corbel" w:hAnsi="Corbel" w:cs="Corbel"/>
                <w:sz w:val="16"/>
                <w:szCs w:val="16"/>
              </w:rPr>
              <w:t>s will frequently be tested on vocabulary through spelling tests and games such as bingo.</w:t>
            </w:r>
          </w:p>
          <w:p w14:paraId="23F303C6" w14:textId="77777777" w:rsidR="008B4B68" w:rsidRDefault="008B4B68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Teachers will present key word lists in lessons.</w:t>
            </w:r>
          </w:p>
          <w:p w14:paraId="3CE47894" w14:textId="77777777" w:rsidR="009C1CE0" w:rsidRDefault="009C1CE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3F2A1B4" w14:textId="77777777" w:rsidR="009C1CE0" w:rsidRDefault="009C1CE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E324B5C" w14:textId="77777777" w:rsidR="009C1CE0" w:rsidRDefault="00556F11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9C1CE0" w14:paraId="024F03F9" w14:textId="77777777">
        <w:tc>
          <w:tcPr>
            <w:tcW w:w="15278" w:type="dxa"/>
            <w:gridSpan w:val="6"/>
          </w:tcPr>
          <w:p w14:paraId="43B5374E" w14:textId="77777777" w:rsidR="009C1CE0" w:rsidRDefault="009C1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14:paraId="13B8DCE2" w14:textId="77777777">
              <w:tc>
                <w:tcPr>
                  <w:tcW w:w="15032" w:type="dxa"/>
                </w:tcPr>
                <w:p w14:paraId="1A178793" w14:textId="0E756BBD" w:rsidR="009C1CE0" w:rsidRDefault="00556F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 xml:space="preserve">The Hub Vision – A School that provides all </w:t>
                  </w:r>
                  <w:r w:rsidR="0054129D"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pupil</w:t>
                  </w: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s with exciting opportunities that build confidence, develop social skills and promote academic achievement</w:t>
                  </w:r>
                </w:p>
              </w:tc>
            </w:tr>
          </w:tbl>
          <w:p w14:paraId="35FE92B5" w14:textId="77777777" w:rsidR="009C1CE0" w:rsidRDefault="009C1CE0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14:paraId="2C580F3F" w14:textId="77777777" w:rsidR="009C1CE0" w:rsidRDefault="009C1CE0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C783" w14:textId="77777777" w:rsidR="007E2644" w:rsidRDefault="007E2644" w:rsidP="007E2644">
      <w:pPr>
        <w:spacing w:after="0" w:line="240" w:lineRule="auto"/>
      </w:pPr>
      <w:r>
        <w:separator/>
      </w:r>
    </w:p>
  </w:endnote>
  <w:endnote w:type="continuationSeparator" w:id="0">
    <w:p w14:paraId="3E2923EA" w14:textId="77777777" w:rsidR="007E2644" w:rsidRDefault="007E264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B596" w14:textId="77777777" w:rsidR="007E2644" w:rsidRDefault="007E2644" w:rsidP="007E2644">
      <w:pPr>
        <w:spacing w:after="0" w:line="240" w:lineRule="auto"/>
      </w:pPr>
      <w:r>
        <w:separator/>
      </w:r>
    </w:p>
  </w:footnote>
  <w:footnote w:type="continuationSeparator" w:id="0">
    <w:p w14:paraId="38E633B1" w14:textId="77777777" w:rsidR="007E2644" w:rsidRDefault="007E264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1AF2" w14:textId="77777777"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5FB92850" wp14:editId="5D4C706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</w:t>
    </w:r>
    <w:r w:rsidR="00F40C9F" w:rsidRPr="00B97741">
      <w:rPr>
        <w:b/>
        <w:sz w:val="28"/>
        <w:szCs w:val="28"/>
      </w:rPr>
      <w:t>:</w:t>
    </w:r>
    <w:r w:rsidR="00A2102F" w:rsidRPr="00B97741">
      <w:rPr>
        <w:b/>
        <w:sz w:val="28"/>
        <w:szCs w:val="28"/>
      </w:rPr>
      <w:t xml:space="preserve">  </w:t>
    </w:r>
    <w:r w:rsidR="00B97741" w:rsidRPr="00B97741">
      <w:rPr>
        <w:b/>
        <w:sz w:val="28"/>
        <w:szCs w:val="28"/>
      </w:rPr>
      <w:t>Science</w:t>
    </w:r>
    <w:r w:rsidR="00A2102F">
      <w:t xml:space="preserve">        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B97741">
      <w:rPr>
        <w:b/>
        <w:sz w:val="28"/>
        <w:szCs w:val="2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25A6A"/>
    <w:rsid w:val="00065077"/>
    <w:rsid w:val="00104BA2"/>
    <w:rsid w:val="00161BE2"/>
    <w:rsid w:val="00235E3F"/>
    <w:rsid w:val="00367801"/>
    <w:rsid w:val="004845FE"/>
    <w:rsid w:val="0054129D"/>
    <w:rsid w:val="00556F11"/>
    <w:rsid w:val="005757FE"/>
    <w:rsid w:val="00663A62"/>
    <w:rsid w:val="007667E9"/>
    <w:rsid w:val="007E2644"/>
    <w:rsid w:val="008B4B68"/>
    <w:rsid w:val="008C2454"/>
    <w:rsid w:val="00930BC2"/>
    <w:rsid w:val="00944E4D"/>
    <w:rsid w:val="0095088E"/>
    <w:rsid w:val="009C1CE0"/>
    <w:rsid w:val="00A2102F"/>
    <w:rsid w:val="00A90C2F"/>
    <w:rsid w:val="00B66D26"/>
    <w:rsid w:val="00B97741"/>
    <w:rsid w:val="00B97D44"/>
    <w:rsid w:val="00BB5FAD"/>
    <w:rsid w:val="00C03F0B"/>
    <w:rsid w:val="00CC7E80"/>
    <w:rsid w:val="00E96060"/>
    <w:rsid w:val="00F376CC"/>
    <w:rsid w:val="00F40C9F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9165AA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AB1B410-F37F-4696-85FA-C2FB6D4DD35C}"/>
</file>

<file path=customXml/itemProps3.xml><?xml version="1.0" encoding="utf-8"?>
<ds:datastoreItem xmlns:ds="http://schemas.openxmlformats.org/officeDocument/2006/customXml" ds:itemID="{DB2AE7C8-E967-453B-BC90-6364E6E4141E}"/>
</file>

<file path=customXml/itemProps4.xml><?xml version="1.0" encoding="utf-8"?>
<ds:datastoreItem xmlns:ds="http://schemas.openxmlformats.org/officeDocument/2006/customXml" ds:itemID="{1F55E424-579D-42BD-AB6B-25E10E819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Ebony Houghton (HUB)</cp:lastModifiedBy>
  <cp:revision>15</cp:revision>
  <cp:lastPrinted>2024-02-19T12:23:00Z</cp:lastPrinted>
  <dcterms:created xsi:type="dcterms:W3CDTF">2024-02-20T13:09:00Z</dcterms:created>
  <dcterms:modified xsi:type="dcterms:W3CDTF">2025-09-08T08:54:00Z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