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2"/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443"/>
        <w:gridCol w:w="1166"/>
        <w:gridCol w:w="2540"/>
        <w:gridCol w:w="1255"/>
        <w:gridCol w:w="4368"/>
      </w:tblGrid>
      <w:tr w:rsidR="009C1CE0" w14:paraId="4DFA0126" w14:textId="77777777" w:rsidTr="1A5996B6">
        <w:tc>
          <w:tcPr>
            <w:tcW w:w="15278" w:type="dxa"/>
            <w:gridSpan w:val="6"/>
          </w:tcPr>
          <w:p w14:paraId="785F2924" w14:textId="77777777" w:rsidR="009C1CE0" w:rsidRDefault="007E2644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190CE0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489EC70D" w14:textId="77777777" w:rsidR="009C1CE0" w:rsidRDefault="00556F11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2DD8285B" w14:textId="77777777" w:rsidR="009C1CE0" w:rsidRDefault="00556F11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68" w:type="dxa"/>
          </w:tcPr>
          <w:p w14:paraId="47350805" w14:textId="77777777" w:rsidR="009C1CE0" w:rsidRDefault="00556F11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:rsidRPr="007A378F" w14:paraId="4D0600FA" w14:textId="77777777" w:rsidTr="008E7BE0">
        <w:trPr>
          <w:trHeight w:val="1100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Pr="007A378F" w:rsidRDefault="00C03F0B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443" w:type="dxa"/>
            <w:shd w:val="clear" w:color="auto" w:fill="C5E0B3" w:themeFill="accent6" w:themeFillTint="66"/>
          </w:tcPr>
          <w:p w14:paraId="41C8F396" w14:textId="7DC13070" w:rsidR="00842DCF" w:rsidRPr="00190CE0" w:rsidRDefault="00842DCF" w:rsidP="1A5996B6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Forms of poetry and poetic technique – simile, metaphor, alliteration, personification </w:t>
            </w:r>
          </w:p>
          <w:p w14:paraId="72A3D3EC" w14:textId="271A60AD" w:rsidR="00842DCF" w:rsidRPr="00190CE0" w:rsidRDefault="00842DCF" w:rsidP="1A5996B6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How to use quotation and reference to support argument </w:t>
            </w:r>
          </w:p>
          <w:p w14:paraId="4C5A4505" w14:textId="77777777" w:rsidR="00842DCF" w:rsidRPr="00190CE0" w:rsidRDefault="00842DCF" w:rsidP="1A5996B6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Word classes – verb, noun, adjective, adverb </w:t>
            </w:r>
          </w:p>
          <w:p w14:paraId="0D0B940D" w14:textId="77777777" w:rsidR="00842DCF" w:rsidRPr="00190CE0" w:rsidRDefault="00842DCF" w:rsidP="1A5996B6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shd w:val="clear" w:color="auto" w:fill="C5E0B3" w:themeFill="accent6" w:themeFillTint="66"/>
          </w:tcPr>
          <w:p w14:paraId="7584BCEE" w14:textId="77777777" w:rsidR="007A378F" w:rsidRPr="00190CE0" w:rsidRDefault="007A378F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Sentence structure, including full stops and capital letters </w:t>
            </w:r>
          </w:p>
          <w:p w14:paraId="02F41C31" w14:textId="77777777" w:rsidR="00B05F6C" w:rsidRPr="00190CE0" w:rsidRDefault="00E92C07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>How to identify explicit information in a text</w:t>
            </w:r>
          </w:p>
          <w:p w14:paraId="472C0DF6" w14:textId="77777777" w:rsidR="007A378F" w:rsidRPr="00190CE0" w:rsidRDefault="00842DCF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Word class </w:t>
            </w:r>
          </w:p>
          <w:p w14:paraId="2B402447" w14:textId="77777777" w:rsidR="00842DCF" w:rsidRPr="00190CE0" w:rsidRDefault="00842DCF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Using quotations and references to support points </w:t>
            </w:r>
          </w:p>
          <w:p w14:paraId="2A78E533" w14:textId="346D56E3" w:rsidR="00842DCF" w:rsidRPr="00190CE0" w:rsidRDefault="3500D67F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>Word class – verb,</w:t>
            </w:r>
            <w:r w:rsidR="5C3F198F" w:rsidRPr="00190CE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noun, adjective, adverb </w:t>
            </w:r>
          </w:p>
        </w:tc>
        <w:tc>
          <w:tcPr>
            <w:tcW w:w="4368" w:type="dxa"/>
            <w:shd w:val="clear" w:color="auto" w:fill="C5E0B3" w:themeFill="accent6" w:themeFillTint="66"/>
          </w:tcPr>
          <w:p w14:paraId="688205BC" w14:textId="77777777" w:rsidR="00B05F6C" w:rsidRPr="00190CE0" w:rsidRDefault="00042CFC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How to identify and retrieve explicit information in a text </w:t>
            </w:r>
          </w:p>
          <w:p w14:paraId="7CC6EA53" w14:textId="77777777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How to identify similarities and differences </w:t>
            </w:r>
          </w:p>
          <w:p w14:paraId="7ACE62B0" w14:textId="77777777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How to use quotations to support points and reference the text </w:t>
            </w:r>
          </w:p>
          <w:p w14:paraId="1A064D4E" w14:textId="77777777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How to evaluate a statement with textual evidence </w:t>
            </w:r>
          </w:p>
        </w:tc>
      </w:tr>
      <w:tr w:rsidR="009C1CE0" w:rsidRPr="007A378F" w14:paraId="116D3005" w14:textId="77777777" w:rsidTr="00190CE0">
        <w:trPr>
          <w:trHeight w:val="1536"/>
        </w:trPr>
        <w:tc>
          <w:tcPr>
            <w:tcW w:w="1506" w:type="dxa"/>
          </w:tcPr>
          <w:p w14:paraId="44EAFD9C" w14:textId="77777777" w:rsidR="009C1CE0" w:rsidRPr="007A378F" w:rsidRDefault="009C1CE0" w:rsidP="1A5996B6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Pr="007A378F" w:rsidRDefault="00556F11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4B94D5A5" w14:textId="77777777" w:rsidR="009C1CE0" w:rsidRPr="007A378F" w:rsidRDefault="009C1CE0" w:rsidP="1A5996B6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62F181E9" w14:textId="6C50E250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Autumn 1 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explore the different forms, patterns and metres of poems. (Haiku, acrostic, sonnet, limerick, Kenning.)</w:t>
            </w:r>
          </w:p>
          <w:p w14:paraId="3656B9AB" w14:textId="0429D3FE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compare, categorise, review, analyse and rank poems.</w:t>
            </w:r>
          </w:p>
          <w:p w14:paraId="45FB0818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1FDC309A" w14:textId="5F3B5073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Autumn 2 Students study myths and legends from around the world, such </w:t>
            </w:r>
            <w:r w:rsidR="434FEA9D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as Greek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, African and Native American mythologies.</w:t>
            </w:r>
          </w:p>
          <w:p w14:paraId="049F31CB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13323E74" w14:textId="5315C330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create their own myth or legend</w:t>
            </w:r>
            <w:r w:rsidR="334B593D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based on their knowledge of the </w:t>
            </w:r>
            <w:proofErr w:type="spellStart"/>
            <w:r w:rsidR="334B593D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myth.legend</w:t>
            </w:r>
            <w:proofErr w:type="spellEnd"/>
            <w:r w:rsidR="334B593D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form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.</w:t>
            </w:r>
          </w:p>
          <w:p w14:paraId="53128261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26864B32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Cultural Capital – The Hull Mermaid</w:t>
            </w:r>
          </w:p>
          <w:p w14:paraId="62486C05" w14:textId="77777777" w:rsidR="007A378F" w:rsidRPr="00190CE0" w:rsidRDefault="007A378F" w:rsidP="1A5996B6">
            <w:pPr>
              <w:tabs>
                <w:tab w:val="left" w:pos="990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21AC63CA" w14:textId="0C81DBF5" w:rsidR="00842DCF" w:rsidRPr="00190CE0" w:rsidRDefault="00842DCF" w:rsidP="1A5996B6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  <w:u w:val="single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Spring 1 - Learners look at how writers develop atmosphere and create imaginary worlds</w:t>
            </w:r>
            <w:r w:rsidRPr="00190CE0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  <w:u w:val="single"/>
              </w:rPr>
              <w:t>.</w:t>
            </w:r>
          </w:p>
          <w:p w14:paraId="026486A5" w14:textId="4E539D8B" w:rsidR="00842DCF" w:rsidRPr="00190CE0" w:rsidRDefault="00842DCF" w:rsidP="1A5996B6">
            <w:pPr>
              <w:rPr>
                <w:rFonts w:ascii="Corbel" w:eastAsia="Corbel" w:hAnsi="Corbel" w:cs="Corbel"/>
                <w:i/>
                <w:iCs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i/>
                <w:iCs/>
                <w:color w:val="000000" w:themeColor="text1"/>
                <w:sz w:val="16"/>
                <w:szCs w:val="16"/>
              </w:rPr>
              <w:t>Possible texts: Skellig; The Cursed Child; Northern Lights.</w:t>
            </w:r>
            <w:r w:rsidR="5528A0BE" w:rsidRPr="00190CE0">
              <w:rPr>
                <w:rFonts w:ascii="Corbel" w:eastAsia="Corbel" w:hAnsi="Corbel" w:cs="Corbel"/>
                <w:i/>
                <w:iCs/>
                <w:color w:val="000000" w:themeColor="text1"/>
                <w:sz w:val="16"/>
                <w:szCs w:val="16"/>
              </w:rPr>
              <w:t xml:space="preserve">  Students will develop these skills in their own writing and creation of imaginary worlds. </w:t>
            </w:r>
          </w:p>
          <w:p w14:paraId="4B99056E" w14:textId="77777777" w:rsidR="00EE5D0D" w:rsidRPr="00190CE0" w:rsidRDefault="00EE5D0D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7387A9F" w14:textId="1F4ADB93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Spring 2 - Research project and </w:t>
            </w:r>
            <w:r w:rsidR="00D8BCAA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pr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esentation on a particular author</w:t>
            </w:r>
          </w:p>
          <w:p w14:paraId="1299C43A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4ECC2A79" w14:textId="61CCB018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Study of comprehension extracts from the selected author.</w:t>
            </w:r>
            <w:r w:rsidR="6EDDB6C9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 Students will develop skills of inference and deduction, </w:t>
            </w:r>
            <w:r w:rsidR="499AEA74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supporting interpretations with textual evidence</w:t>
            </w:r>
            <w:r w:rsidR="5C799EC8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and evaluating different interpretations.  Students will link </w:t>
            </w:r>
            <w:r w:rsidR="55BE9798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texts to real life issues and enter into debate beyond the text. </w:t>
            </w:r>
          </w:p>
          <w:p w14:paraId="4DDBEF00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3461D779" w14:textId="31CD174B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Suggested author: Benjamin Zephaniah </w:t>
            </w:r>
          </w:p>
        </w:tc>
        <w:tc>
          <w:tcPr>
            <w:tcW w:w="4368" w:type="dxa"/>
          </w:tcPr>
          <w:p w14:paraId="049C915A" w14:textId="7D269920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Summer 1  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Learners will explore 19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Century</w:t>
            </w:r>
            <w:r w:rsidR="3875BD07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Gothic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text extracts and compare them with modern texts extracts.  Fiction and non-fiction extracts will be used </w:t>
            </w:r>
          </w:p>
          <w:p w14:paraId="0FB78278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35242B2A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Suggested texts: Dracula, Frankenstein, Twilight, 20, 000 Leagues under the Sea.</w:t>
            </w:r>
          </w:p>
          <w:p w14:paraId="1FC39945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444FAD4C" w14:textId="77777777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Summer 2 </w:t>
            </w:r>
          </w:p>
          <w:p w14:paraId="6201C0E7" w14:textId="7F28FFEA" w:rsidR="00842DCF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Learners explore and respond to a broad range of contemporary texts, linking these with poems and </w:t>
            </w:r>
            <w:r w:rsidR="1B545A90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fiction and non-fiction texts on the theme of </w:t>
            </w:r>
            <w:r w:rsidR="00042CFC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changes and difference</w:t>
            </w:r>
            <w:r w:rsidR="4848BB0A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.  Students will expand their comprehension skills, supporting interpretations with evidence and evaluating differing opinions </w:t>
            </w:r>
          </w:p>
          <w:p w14:paraId="0562CB0E" w14:textId="77777777" w:rsidR="00B05F6C" w:rsidRPr="00190CE0" w:rsidRDefault="00B05F6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:rsidRPr="007A378F" w14:paraId="41CCB937" w14:textId="77777777" w:rsidTr="00190CE0">
        <w:trPr>
          <w:trHeight w:val="1197"/>
        </w:trPr>
        <w:tc>
          <w:tcPr>
            <w:tcW w:w="1506" w:type="dxa"/>
          </w:tcPr>
          <w:p w14:paraId="5AEEA579" w14:textId="77777777" w:rsidR="00F376CC" w:rsidRPr="007A378F" w:rsidRDefault="00F376CC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Pr="007A378F" w:rsidRDefault="00F376CC" w:rsidP="1A5996B6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34CE0A41" w14:textId="77777777" w:rsidR="00161BE2" w:rsidRPr="007A378F" w:rsidRDefault="00161BE2" w:rsidP="1A5996B6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651452E0" w14:textId="5A5C4C57" w:rsidR="007A378F" w:rsidRPr="00190CE0" w:rsidRDefault="007A378F" w:rsidP="1A5996B6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GoBack"/>
            <w:bookmarkEnd w:id="1"/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Autumn 1 – </w:t>
            </w:r>
            <w:r w:rsidR="00B05F6C" w:rsidRPr="00190CE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05F6C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="00842DCF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AO2 – How does the writer use language to present the Lady of Shallot?</w:t>
            </w:r>
            <w:r w:rsidR="7E16A93E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 Students will write a PETER paragraph, using quotation and single-word analysis to support their views </w:t>
            </w:r>
          </w:p>
          <w:p w14:paraId="6D98A12B" w14:textId="77777777" w:rsidR="007A378F" w:rsidRPr="00190CE0" w:rsidRDefault="007A378F" w:rsidP="1A5996B6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E9F95DA" w14:textId="77777777" w:rsidR="00B05F6C" w:rsidRPr="00190CE0" w:rsidRDefault="007A378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Autumn 2 </w:t>
            </w:r>
            <w:r w:rsidR="00B05F6C" w:rsidRPr="00190CE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05F6C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Assessment: A05/A06 –</w:t>
            </w:r>
            <w:r w:rsidR="00842DCF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Students plan and write their own mythical story or re-write an existing myth from the point of view of a different character. </w:t>
            </w:r>
          </w:p>
          <w:p w14:paraId="5997CC1D" w14:textId="6DB54FA7" w:rsidR="00B05F6C" w:rsidRPr="00190CE0" w:rsidRDefault="00B05F6C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6B699379" w14:textId="32905687" w:rsidR="007A378F" w:rsidRPr="00190CE0" w:rsidRDefault="007A378F" w:rsidP="1A5996B6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40F55EB6" w14:textId="77777777" w:rsidR="00B05F6C" w:rsidRPr="00190CE0" w:rsidRDefault="00E92C07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Spring 1 – </w:t>
            </w:r>
          </w:p>
          <w:p w14:paraId="08CE6F91" w14:textId="624F969E" w:rsidR="00E92C07" w:rsidRPr="00190CE0" w:rsidRDefault="00842DCF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AO5/AO6 – Students describe an imaginary world, based on image stimulus from one of the texts they have looked at – text at teacher’s discretion</w:t>
            </w:r>
          </w:p>
          <w:p w14:paraId="61CDCEAD" w14:textId="77777777" w:rsidR="00E92C07" w:rsidRPr="00190CE0" w:rsidRDefault="00E92C07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A600C8F" w14:textId="78950976" w:rsidR="00E92C07" w:rsidRPr="00190CE0" w:rsidRDefault="00E92C07" w:rsidP="1A5996B6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Spring 2 – </w:t>
            </w:r>
            <w:r w:rsidR="00B05F6C" w:rsidRPr="00190CE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842DCF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AO5/AO6 – Writing to argue persuade based on thematic issue in author’s work</w:t>
            </w:r>
            <w:r w:rsidR="1B3C7BE8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.  Suggested title based on ‘</w:t>
            </w:r>
            <w:proofErr w:type="spellStart"/>
            <w:r w:rsidR="5BE432B7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Gangsta</w:t>
            </w:r>
            <w:proofErr w:type="spellEnd"/>
            <w:r w:rsidR="5BE432B7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Rap’ - </w:t>
            </w:r>
            <w:r w:rsidR="7E1E2094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‘Alternative provision schools are great.  There should be more provision for children who do not get on in mainstream’</w:t>
            </w:r>
          </w:p>
        </w:tc>
        <w:tc>
          <w:tcPr>
            <w:tcW w:w="4368" w:type="dxa"/>
          </w:tcPr>
          <w:p w14:paraId="4E24A161" w14:textId="77777777" w:rsidR="00042CFC" w:rsidRPr="00190CE0" w:rsidRDefault="00B05F6C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Summer 1 – </w:t>
            </w:r>
            <w:r w:rsidR="00042CFC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AO1/AO3 – Compare the presentation of the giant squid in 20,000 Leagues Under The Sea and a </w:t>
            </w:r>
          </w:p>
          <w:p w14:paraId="14131AF8" w14:textId="747C17C6" w:rsidR="00042CFC" w:rsidRPr="00190CE0" w:rsidRDefault="00042CFC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Newspaper article </w:t>
            </w:r>
            <w:r w:rsidR="4AC853EE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on the Giant Squid </w:t>
            </w:r>
          </w:p>
          <w:p w14:paraId="52E56223" w14:textId="77777777" w:rsidR="00B05F6C" w:rsidRPr="00190CE0" w:rsidRDefault="00B05F6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2CF376E" w14:textId="77777777" w:rsidR="00B05F6C" w:rsidRPr="00190CE0" w:rsidRDefault="00B05F6C" w:rsidP="1A5996B6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Summer 2 - </w:t>
            </w:r>
          </w:p>
          <w:p w14:paraId="131B3D19" w14:textId="24035BC2" w:rsidR="00B05F6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AO4 – evaluative question on extract of teacher’s choice</w:t>
            </w:r>
            <w:r w:rsidR="5B85E0EC"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.  S</w:t>
            </w: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uggested question, ‘a student having read this article said, no-one should feel the need to undergo cosmetic surgery, people should be happy as they are.  To what extent do you agree? </w:t>
            </w:r>
          </w:p>
        </w:tc>
      </w:tr>
      <w:tr w:rsidR="009C1CE0" w:rsidRPr="007A378F" w14:paraId="4EEE75F7" w14:textId="77777777" w:rsidTr="00190CE0">
        <w:trPr>
          <w:trHeight w:val="192"/>
        </w:trPr>
        <w:tc>
          <w:tcPr>
            <w:tcW w:w="1506" w:type="dxa"/>
            <w:shd w:val="clear" w:color="auto" w:fill="BDD6EE" w:themeFill="accent1" w:themeFillTint="66"/>
          </w:tcPr>
          <w:p w14:paraId="07459315" w14:textId="75CAF387" w:rsidR="009C1CE0" w:rsidRPr="007A378F" w:rsidRDefault="00F376CC" w:rsidP="00190CE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</w:tc>
        <w:tc>
          <w:tcPr>
            <w:tcW w:w="4443" w:type="dxa"/>
            <w:shd w:val="clear" w:color="auto" w:fill="BDD6EE" w:themeFill="accent1" w:themeFillTint="66"/>
          </w:tcPr>
          <w:p w14:paraId="6DFB9E20" w14:textId="77777777" w:rsidR="00E92C07" w:rsidRPr="00190CE0" w:rsidRDefault="00E92C07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</w:p>
        </w:tc>
        <w:tc>
          <w:tcPr>
            <w:tcW w:w="4961" w:type="dxa"/>
            <w:gridSpan w:val="3"/>
            <w:shd w:val="clear" w:color="auto" w:fill="BDD6EE" w:themeFill="accent1" w:themeFillTint="66"/>
          </w:tcPr>
          <w:p w14:paraId="44FAE102" w14:textId="77777777" w:rsidR="00E92C07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The life of a writer – Benjamin Zephaniah’s career </w:t>
            </w:r>
          </w:p>
        </w:tc>
        <w:tc>
          <w:tcPr>
            <w:tcW w:w="4368" w:type="dxa"/>
            <w:shd w:val="clear" w:color="auto" w:fill="BDD6EE" w:themeFill="accent1" w:themeFillTint="66"/>
          </w:tcPr>
          <w:p w14:paraId="44E871BC" w14:textId="77777777" w:rsidR="009C1CE0" w:rsidRPr="00190CE0" w:rsidRDefault="009C1CE0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44A5D23" w14:textId="77777777" w:rsidR="00B05F6C" w:rsidRPr="00190CE0" w:rsidRDefault="00B05F6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F376CC" w:rsidRPr="007A378F" w14:paraId="7EA75E0E" w14:textId="77777777" w:rsidTr="00190CE0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Pr="007A378F" w:rsidRDefault="00F376CC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738610EB" w14:textId="77777777" w:rsidR="00F376CC" w:rsidRPr="007A378F" w:rsidRDefault="00F376CC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37805D2" w14:textId="77777777" w:rsidR="00F376CC" w:rsidRPr="007A378F" w:rsidRDefault="00F376CC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shd w:val="clear" w:color="auto" w:fill="BDD6EE" w:themeFill="accent1" w:themeFillTint="66"/>
          </w:tcPr>
          <w:p w14:paraId="7E500ED3" w14:textId="77777777" w:rsidR="00B05F6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Respect – remembering the </w:t>
            </w:r>
            <w:proofErr w:type="spellStart"/>
            <w:r w:rsidRPr="00190CE0">
              <w:rPr>
                <w:rFonts w:ascii="Corbel" w:eastAsia="Corbel" w:hAnsi="Corbel" w:cs="Corbel"/>
                <w:sz w:val="16"/>
                <w:szCs w:val="16"/>
              </w:rPr>
              <w:t>Gresford</w:t>
            </w:r>
            <w:proofErr w:type="spellEnd"/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 Disaster </w:t>
            </w:r>
          </w:p>
          <w:p w14:paraId="463F29E8" w14:textId="77777777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2AC752A" w14:textId="77777777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Tolerance – different belief systems in myths and legends </w:t>
            </w:r>
          </w:p>
          <w:p w14:paraId="27BA5613" w14:textId="19309375" w:rsidR="1A5996B6" w:rsidRPr="00190CE0" w:rsidRDefault="1A5996B6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B7B4B86" w14:textId="05ED737D" w:rsidR="00B05F6C" w:rsidRPr="00190CE0" w:rsidRDefault="66C160CB" w:rsidP="1A5996B6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 intend to take all opportunities to make links to the British Values and CIAG as they arise in our lessons.</w:t>
            </w:r>
          </w:p>
        </w:tc>
        <w:tc>
          <w:tcPr>
            <w:tcW w:w="4961" w:type="dxa"/>
            <w:gridSpan w:val="3"/>
            <w:shd w:val="clear" w:color="auto" w:fill="BDD6EE" w:themeFill="accent1" w:themeFillTint="66"/>
          </w:tcPr>
          <w:p w14:paraId="10824DF7" w14:textId="77777777" w:rsidR="00B05F6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Respect – thematic understanding of Zephaniah’s work </w:t>
            </w:r>
          </w:p>
          <w:p w14:paraId="12F0FDE2" w14:textId="77777777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Tolerance – The English poem </w:t>
            </w:r>
          </w:p>
          <w:p w14:paraId="22AE45EA" w14:textId="6673B5C5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Tolerance – Refugee Boy </w:t>
            </w:r>
          </w:p>
          <w:p w14:paraId="056B00D9" w14:textId="03BD3B0F" w:rsidR="00042CFC" w:rsidRPr="00190CE0" w:rsidRDefault="00042CF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F42B3DD" w14:textId="782689C1" w:rsidR="00042CFC" w:rsidRPr="00190CE0" w:rsidRDefault="734F2C06" w:rsidP="1A5996B6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 intend to take all opportunities to make links to the British Values and CIAG as they arise in our lessons.</w:t>
            </w:r>
          </w:p>
        </w:tc>
        <w:tc>
          <w:tcPr>
            <w:tcW w:w="4368" w:type="dxa"/>
            <w:shd w:val="clear" w:color="auto" w:fill="BDD6EE" w:themeFill="accent1" w:themeFillTint="66"/>
          </w:tcPr>
          <w:p w14:paraId="5E81CCE4" w14:textId="77777777" w:rsidR="008979A8" w:rsidRPr="00190CE0" w:rsidRDefault="008979A8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Changes and Difference: </w:t>
            </w:r>
          </w:p>
          <w:p w14:paraId="3F212237" w14:textId="77777777" w:rsidR="008979A8" w:rsidRPr="00190CE0" w:rsidRDefault="008979A8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 xml:space="preserve">Tolerance – Wonder, understanding neurodiversity </w:t>
            </w:r>
          </w:p>
          <w:p w14:paraId="78A09239" w14:textId="40C4DEBA" w:rsidR="00B05F6C" w:rsidRPr="00190CE0" w:rsidRDefault="008979A8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sz w:val="16"/>
                <w:szCs w:val="16"/>
              </w:rPr>
              <w:t>Respect and Individual Liberty – debate on cosmetic surgery</w:t>
            </w:r>
          </w:p>
          <w:p w14:paraId="34C3C98F" w14:textId="3FA2933E" w:rsidR="00B05F6C" w:rsidRPr="00190CE0" w:rsidRDefault="00B05F6C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4A0BA1C" w14:textId="106FF72A" w:rsidR="00B05F6C" w:rsidRPr="00190CE0" w:rsidRDefault="651B11B2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190CE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 intend to take all opportunities to make links to the British Values and CIAG as they arise in our lessons.</w:t>
            </w:r>
            <w:r w:rsidR="008979A8" w:rsidRPr="00190CE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05F6C" w:rsidRPr="00190CE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</w:tc>
      </w:tr>
      <w:tr w:rsidR="009C1CE0" w:rsidRPr="007A378F" w14:paraId="20F721BF" w14:textId="77777777" w:rsidTr="1A5996B6">
        <w:tc>
          <w:tcPr>
            <w:tcW w:w="1506" w:type="dxa"/>
          </w:tcPr>
          <w:p w14:paraId="7D05050F" w14:textId="77777777" w:rsidR="009C1CE0" w:rsidRPr="007A378F" w:rsidRDefault="00556F11" w:rsidP="1A5996B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3A0FF5F2" w14:textId="77777777" w:rsidR="009C1CE0" w:rsidRPr="007A378F" w:rsidRDefault="009C1CE0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B9FA96" w14:textId="77777777" w:rsidR="009C1CE0" w:rsidRPr="007A378F" w:rsidRDefault="00556F11" w:rsidP="1A5996B6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A5996B6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5630AD66" w14:textId="77777777" w:rsidR="009C1CE0" w:rsidRPr="007A378F" w:rsidRDefault="009C1CE0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1829076" w14:textId="77777777" w:rsidR="009C1CE0" w:rsidRPr="007A378F" w:rsidRDefault="009C1CE0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BA226A1" w14:textId="77777777" w:rsidR="009C1CE0" w:rsidRPr="007A378F" w:rsidRDefault="009C1CE0" w:rsidP="1A5996B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7AD93B2" w14:textId="77777777" w:rsidR="009C1CE0" w:rsidRPr="007A378F" w:rsidRDefault="00556F11" w:rsidP="1A5996B6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A378F">
              <w:rPr>
                <w:rFonts w:ascii="Corbel" w:eastAsia="Corbel" w:hAnsi="Corbel" w:cs="Corbel"/>
              </w:rPr>
              <w:tab/>
            </w:r>
          </w:p>
        </w:tc>
      </w:tr>
      <w:tr w:rsidR="009C1CE0" w:rsidRPr="007A378F" w14:paraId="7B4C14D5" w14:textId="77777777" w:rsidTr="1A5996B6">
        <w:tc>
          <w:tcPr>
            <w:tcW w:w="15278" w:type="dxa"/>
            <w:gridSpan w:val="6"/>
          </w:tcPr>
          <w:p w14:paraId="0DE4B5B7" w14:textId="77777777" w:rsidR="009C1CE0" w:rsidRPr="007A378F" w:rsidRDefault="009C1CE0" w:rsidP="1A599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1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7A378F" w14:paraId="0E911C20" w14:textId="77777777" w:rsidTr="1A5996B6">
              <w:tc>
                <w:tcPr>
                  <w:tcW w:w="15032" w:type="dxa"/>
                </w:tcPr>
                <w:p w14:paraId="5320EC27" w14:textId="77777777" w:rsidR="009C1CE0" w:rsidRPr="007A378F" w:rsidRDefault="00556F11" w:rsidP="1A5996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1A5996B6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66204FF1" w14:textId="77777777" w:rsidR="009C1CE0" w:rsidRPr="007A378F" w:rsidRDefault="009C1CE0" w:rsidP="1A5996B6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DBF0D7D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0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F1B3" w14:textId="77777777" w:rsidR="005965FA" w:rsidRDefault="005965FA" w:rsidP="007E2644">
      <w:pPr>
        <w:spacing w:after="0" w:line="240" w:lineRule="auto"/>
      </w:pPr>
      <w:r>
        <w:separator/>
      </w:r>
    </w:p>
  </w:endnote>
  <w:endnote w:type="continuationSeparator" w:id="0">
    <w:p w14:paraId="02F2C34E" w14:textId="77777777" w:rsidR="005965FA" w:rsidRDefault="005965FA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4E5D" w14:textId="77777777" w:rsidR="005965FA" w:rsidRDefault="005965FA" w:rsidP="007E2644">
      <w:pPr>
        <w:spacing w:after="0" w:line="240" w:lineRule="auto"/>
      </w:pPr>
      <w:r>
        <w:separator/>
      </w:r>
    </w:p>
  </w:footnote>
  <w:footnote w:type="continuationSeparator" w:id="0">
    <w:p w14:paraId="19219836" w14:textId="77777777" w:rsidR="005965FA" w:rsidRDefault="005965FA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5B8A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      </w:t>
    </w:r>
    <w:r w:rsidR="007A378F">
      <w:t>English</w:t>
    </w:r>
    <w:r w:rsidR="00A2102F">
      <w:t xml:space="preserve">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A50F9A">
      <w:rPr>
        <w:b/>
        <w:sz w:val="28"/>
        <w:szCs w:val="2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42CFC"/>
    <w:rsid w:val="00134BAB"/>
    <w:rsid w:val="00161BE2"/>
    <w:rsid w:val="00190CE0"/>
    <w:rsid w:val="002B55CF"/>
    <w:rsid w:val="004845FE"/>
    <w:rsid w:val="00556F11"/>
    <w:rsid w:val="005757FE"/>
    <w:rsid w:val="005965FA"/>
    <w:rsid w:val="007A378F"/>
    <w:rsid w:val="007E2644"/>
    <w:rsid w:val="00842DCF"/>
    <w:rsid w:val="008979A8"/>
    <w:rsid w:val="008E7BE0"/>
    <w:rsid w:val="009C1CE0"/>
    <w:rsid w:val="00A2102F"/>
    <w:rsid w:val="00A50F9A"/>
    <w:rsid w:val="00B05F6C"/>
    <w:rsid w:val="00B66D26"/>
    <w:rsid w:val="00B97D44"/>
    <w:rsid w:val="00C03F0B"/>
    <w:rsid w:val="00CC7E80"/>
    <w:rsid w:val="00D8BCAA"/>
    <w:rsid w:val="00E92C07"/>
    <w:rsid w:val="00EE5D0D"/>
    <w:rsid w:val="00F376CC"/>
    <w:rsid w:val="00F40C9F"/>
    <w:rsid w:val="0FEF9DA2"/>
    <w:rsid w:val="19CFE830"/>
    <w:rsid w:val="1A5996B6"/>
    <w:rsid w:val="1B3C7BE8"/>
    <w:rsid w:val="1B545A90"/>
    <w:rsid w:val="23B9F6E8"/>
    <w:rsid w:val="266967A2"/>
    <w:rsid w:val="302DD25F"/>
    <w:rsid w:val="30EAA749"/>
    <w:rsid w:val="334B593D"/>
    <w:rsid w:val="3500D67F"/>
    <w:rsid w:val="3875BD07"/>
    <w:rsid w:val="3894FBF3"/>
    <w:rsid w:val="434FEA9D"/>
    <w:rsid w:val="44BA7CAD"/>
    <w:rsid w:val="46F53645"/>
    <w:rsid w:val="47610AE0"/>
    <w:rsid w:val="4848BB0A"/>
    <w:rsid w:val="499AEA74"/>
    <w:rsid w:val="4A03BAFD"/>
    <w:rsid w:val="4AC853EE"/>
    <w:rsid w:val="5528A0BE"/>
    <w:rsid w:val="55BE9798"/>
    <w:rsid w:val="56C96265"/>
    <w:rsid w:val="576301D1"/>
    <w:rsid w:val="5B85E0EC"/>
    <w:rsid w:val="5BE432B7"/>
    <w:rsid w:val="5C3F198F"/>
    <w:rsid w:val="5C799EC8"/>
    <w:rsid w:val="5FFFE020"/>
    <w:rsid w:val="651B11B2"/>
    <w:rsid w:val="655C8139"/>
    <w:rsid w:val="6655D50E"/>
    <w:rsid w:val="66C160CB"/>
    <w:rsid w:val="66F2F608"/>
    <w:rsid w:val="68390CB3"/>
    <w:rsid w:val="6BC3B930"/>
    <w:rsid w:val="6EBA3E80"/>
    <w:rsid w:val="6EDDB6C9"/>
    <w:rsid w:val="734F2C06"/>
    <w:rsid w:val="7C761E04"/>
    <w:rsid w:val="7E16A93E"/>
    <w:rsid w:val="7E1E2094"/>
    <w:rsid w:val="7F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25FAE6"/>
  <w15:docId w15:val="{6AD7CF2B-068F-406E-92A7-0A3AED15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8" ma:contentTypeDescription="Create a new document." ma:contentTypeScope="" ma:versionID="bcd88b1bc84b44cdf7e3ddfd6b54bac4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5e50efb1861cd9caeb814185e44f4bb9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0A42D7-DA73-4579-80EF-562CDC1CA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4331F-F85C-4766-98FB-E411BB7AC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7E58C-76A1-4F90-A734-E1CB990E2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Company>The Hub School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sbarlow</dc:creator>
  <cp:keywords/>
  <dc:description/>
  <cp:lastModifiedBy>David Haywood</cp:lastModifiedBy>
  <cp:revision>5</cp:revision>
  <cp:lastPrinted>2024-02-19T12:23:00Z</cp:lastPrinted>
  <dcterms:created xsi:type="dcterms:W3CDTF">2024-09-18T11:27:00Z</dcterms:created>
  <dcterms:modified xsi:type="dcterms:W3CDTF">2024-11-18T08:16:00Z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