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>
        <w:tc>
          <w:tcPr>
            <w:tcW w:w="15278" w:type="dxa"/>
            <w:gridSpan w:val="6"/>
          </w:tcPr>
          <w:p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>
        <w:trPr>
          <w:trHeight w:val="417"/>
        </w:trPr>
        <w:tc>
          <w:tcPr>
            <w:tcW w:w="1506" w:type="dxa"/>
          </w:tcPr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  <w:r w:rsidR="00817600">
              <w:rPr>
                <w:rFonts w:ascii="Corbel" w:eastAsia="Corbel" w:hAnsi="Corbel" w:cs="Corbel"/>
                <w:b/>
              </w:rPr>
              <w:t xml:space="preserve"> (Half Term 2)</w:t>
            </w:r>
          </w:p>
          <w:p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817600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Angles in parallel lines and polygons Year 8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Properties of shape Year 5 and 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Position and Direction Year 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Constructing, measuring and using geometric notation Year 7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Position and direction Years 4-6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Working in the cartesian plane Year 8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Properties of shape Year 2-6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Algebra Year 6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Indices Year 8</w:t>
            </w:r>
          </w:p>
        </w:tc>
        <w:tc>
          <w:tcPr>
            <w:tcW w:w="4592" w:type="dxa"/>
            <w:shd w:val="clear" w:color="auto" w:fill="C5E0B3" w:themeFill="accent6" w:themeFillTint="66"/>
          </w:tcPr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Solve problems with multiplication and division Year 7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Multiplication and Division Year 4 and 5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Properties of shape Years 5 and 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Ratio and scale Year 8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Ratio Year 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Converting Units Years 5 and 6</w:t>
            </w:r>
          </w:p>
          <w:p w:rsidR="00766047" w:rsidRPr="00BD0DF6" w:rsidRDefault="00766047" w:rsidP="00766047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Money Years 2 and 4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Sets and probability Year 7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Tables and probability Year 8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Statistics Years 2-6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Algebra Year 6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Forming and solving equations Year 9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Understand and use algebraic notation Year 7</w:t>
            </w:r>
          </w:p>
        </w:tc>
      </w:tr>
      <w:tr w:rsidR="00817600" w:rsidTr="00F376CC">
        <w:trPr>
          <w:trHeight w:val="1536"/>
        </w:trPr>
        <w:tc>
          <w:tcPr>
            <w:tcW w:w="1506" w:type="dxa"/>
          </w:tcPr>
          <w:p w:rsidR="00817600" w:rsidRDefault="00817600" w:rsidP="00817600">
            <w:pPr>
              <w:rPr>
                <w:rFonts w:ascii="Corbel" w:eastAsia="Corbel" w:hAnsi="Corbel" w:cs="Corbel"/>
                <w:b/>
              </w:rPr>
            </w:pP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</w:tcPr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Deduction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Rotation and translation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Pythagoras’ theorem</w:t>
            </w:r>
          </w:p>
        </w:tc>
        <w:tc>
          <w:tcPr>
            <w:tcW w:w="4592" w:type="dxa"/>
          </w:tcPr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Enlargement and similarity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Solving ratio and proportion problems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Rates</w:t>
            </w:r>
          </w:p>
          <w:p w:rsidR="00766047" w:rsidRDefault="00766047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Maths and money</w:t>
            </w:r>
          </w:p>
          <w:p w:rsidR="00817600" w:rsidRPr="00BD0DF6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Probability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Algebraic representation</w:t>
            </w:r>
          </w:p>
        </w:tc>
      </w:tr>
      <w:tr w:rsidR="00817600">
        <w:trPr>
          <w:trHeight w:val="1197"/>
        </w:trPr>
        <w:tc>
          <w:tcPr>
            <w:tcW w:w="1506" w:type="dxa"/>
          </w:tcPr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</w:tcPr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592" w:type="dxa"/>
          </w:tcPr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</w:tr>
      <w:tr w:rsidR="00817600" w:rsidTr="00F376CC">
        <w:tc>
          <w:tcPr>
            <w:tcW w:w="1506" w:type="dxa"/>
            <w:shd w:val="clear" w:color="auto" w:fill="BDD6EE" w:themeFill="accent1" w:themeFillTint="66"/>
          </w:tcPr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:rsidR="00817600" w:rsidRDefault="005C4F07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 w:colFirst="0" w:colLast="0"/>
            <w:bookmarkEnd w:id="1"/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Deduction: Crucial in fields like law, computer science, and critical thinking, where logical reasoning and problem-solving are necessary for drawing conclusions.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Rotation and Translation: Important in graphic design, animation, and robotics for manipulating shapes and understanding movements in two-dimensional and three-dimensional spaces.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</w:tcPr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Enlargement and Similarity: Essential in fields like architecture, design, and photography for understanding scale and creating proportional representations of objects.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Solving Ratio and Proportion Problems: Important in cooking, chemistry, and finance for adjusting recipes, mixing solutions, and managing budgets based on relative quantities.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="Segoe UI"/>
                <w:sz w:val="16"/>
                <w:szCs w:val="16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Rates: Key in economics, logistics, and travel for calculating speed, cost per unit, and time efficiency, which are vital for planning and decision-making.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/>
                <w:color w:val="000000"/>
                <w:sz w:val="16"/>
                <w:szCs w:val="16"/>
                <w:bdr w:val="none" w:sz="0" w:space="0" w:color="auto" w:frame="1"/>
              </w:rPr>
              <w:t>Maths and Money: Key for personal finance, budgeting, and accounting, helping individu</w:t>
            </w:r>
            <w:bookmarkStart w:id="2" w:name="_GoBack"/>
            <w:bookmarkEnd w:id="2"/>
            <w:r>
              <w:rPr>
                <w:rStyle w:val="normaltextrun"/>
                <w:rFonts w:ascii="Corbel" w:hAnsi="Corbel"/>
                <w:color w:val="000000"/>
                <w:sz w:val="16"/>
                <w:szCs w:val="16"/>
                <w:bdr w:val="none" w:sz="0" w:space="0" w:color="auto" w:frame="1"/>
              </w:rPr>
              <w:t>als manage their finances and make informed financial decisions.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Probability: Crucial in fields like insurance, finance, and data science for assessing risks, making predictions, and analysing data trends.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5C4F07" w:rsidRDefault="005C4F07" w:rsidP="005C4F0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lastRenderedPageBreak/>
              <w:t>Algebraic Representation: Important in computer programming, engineering, and science for modelling real-world scenarios and solving complex problems using variables and equations.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817600" w:rsidTr="00947FAC">
        <w:tc>
          <w:tcPr>
            <w:tcW w:w="1506" w:type="dxa"/>
            <w:shd w:val="clear" w:color="auto" w:fill="BDD6EE" w:themeFill="accent1" w:themeFillTint="66"/>
          </w:tcPr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lastRenderedPageBreak/>
              <w:t xml:space="preserve">British Values </w:t>
            </w: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:rsidR="00817600" w:rsidRPr="00F55702" w:rsidRDefault="00817600" w:rsidP="00817600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Encourage students to engage with mathematical challenges that reflect real-world issues, fostering a sense of social responsibility.</w:t>
            </w:r>
          </w:p>
          <w:p w:rsidR="00817600" w:rsidRPr="00F55702" w:rsidRDefault="00817600" w:rsidP="00817600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Provide opportunities for students to explore the historical and cultural context of mathematical concepts, promoting appreciation for diversity.</w:t>
            </w:r>
          </w:p>
          <w:p w:rsidR="00817600" w:rsidRPr="00F55702" w:rsidRDefault="00817600" w:rsidP="00817600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Emphasize the importance of resilience and perseverance in problem-solving, promoting the value of determination and hard work.</w:t>
            </w:r>
          </w:p>
          <w:p w:rsidR="00817600" w:rsidRPr="00F55702" w:rsidRDefault="00817600" w:rsidP="00817600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Foster an environment where students feel empowered to question and challenge mathematical ideas, promoting critical thinking and independent inquiry.</w:t>
            </w:r>
          </w:p>
          <w:p w:rsidR="00817600" w:rsidRPr="00F55702" w:rsidRDefault="00817600" w:rsidP="00817600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Support students in making informed choices about their mathematical pathways, encouraging them to pursue areas of interest and strength.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817600">
        <w:tc>
          <w:tcPr>
            <w:tcW w:w="1506" w:type="dxa"/>
          </w:tcPr>
          <w:p w:rsidR="00817600" w:rsidRDefault="00817600" w:rsidP="00817600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 Numeracy</w:t>
            </w:r>
          </w:p>
        </w:tc>
        <w:tc>
          <w:tcPr>
            <w:tcW w:w="5534" w:type="dxa"/>
            <w:gridSpan w:val="2"/>
          </w:tcPr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Science: Analyse more complex data.</w:t>
            </w:r>
          </w:p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Geography: Explore deeper spatial concepts.</w:t>
            </w:r>
          </w:p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History: Dive into historical data analysis.</w:t>
            </w:r>
          </w:p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Design and Technology: Apply numeracy in design and costing.</w:t>
            </w:r>
          </w:p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English: Use numeracy in interpreting and writing narratives.</w:t>
            </w:r>
          </w:p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Art and Design: Explore numeracy in artistic compositions.</w:t>
            </w:r>
          </w:p>
          <w:p w:rsidR="00817600" w:rsidRPr="0010505F" w:rsidRDefault="00817600" w:rsidP="00817600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PE: Apply numeracy to analyse sports biomechanics.</w:t>
            </w: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1401" w:type="dxa"/>
          </w:tcPr>
          <w:p w:rsidR="00817600" w:rsidRDefault="00817600" w:rsidP="00817600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817600" w:rsidRDefault="00817600" w:rsidP="00817600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817600" w:rsidRDefault="00817600" w:rsidP="00817600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817600">
        <w:tc>
          <w:tcPr>
            <w:tcW w:w="15278" w:type="dxa"/>
            <w:gridSpan w:val="6"/>
          </w:tcPr>
          <w:p w:rsidR="00817600" w:rsidRDefault="00817600" w:rsidP="008176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817600">
              <w:tc>
                <w:tcPr>
                  <w:tcW w:w="15032" w:type="dxa"/>
                </w:tcPr>
                <w:p w:rsidR="00817600" w:rsidRDefault="00817600" w:rsidP="008176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:rsidR="00817600" w:rsidRDefault="00817600" w:rsidP="00817600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:rsidR="009C1CE0" w:rsidRDefault="009C1CE0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3F8" w:rsidRDefault="00D243F8" w:rsidP="007E2644">
      <w:pPr>
        <w:spacing w:after="0" w:line="240" w:lineRule="auto"/>
      </w:pPr>
      <w:r>
        <w:separator/>
      </w:r>
    </w:p>
  </w:endnote>
  <w:endnote w:type="continuationSeparator" w:id="0">
    <w:p w:rsidR="00D243F8" w:rsidRDefault="00D243F8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3F8" w:rsidRDefault="00D243F8" w:rsidP="007E2644">
      <w:pPr>
        <w:spacing w:after="0" w:line="240" w:lineRule="auto"/>
      </w:pPr>
      <w:r>
        <w:separator/>
      </w:r>
    </w:p>
  </w:footnote>
  <w:footnote w:type="continuationSeparator" w:id="0">
    <w:p w:rsidR="00D243F8" w:rsidRDefault="00D243F8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</w:t>
    </w:r>
    <w:r w:rsidR="00817600">
      <w:t xml:space="preserve">                            </w:t>
    </w:r>
    <w:r w:rsidR="00817600">
      <w:rPr>
        <w:b/>
        <w:sz w:val="28"/>
        <w:szCs w:val="28"/>
      </w:rPr>
      <w:t>Subject:</w:t>
    </w:r>
    <w:r w:rsidR="00817600">
      <w:t xml:space="preserve"> Maths   </w:t>
    </w:r>
    <w:r w:rsidR="00817600">
      <w:rPr>
        <w:b/>
        <w:sz w:val="28"/>
        <w:szCs w:val="28"/>
      </w:rPr>
      <w:t xml:space="preserve">                      </w:t>
    </w:r>
    <w:r w:rsidR="00817600">
      <w:rPr>
        <w:b/>
        <w:sz w:val="28"/>
        <w:szCs w:val="28"/>
        <w:u w:val="single"/>
      </w:rPr>
      <w:t>Curriculum- Long Term Plan</w:t>
    </w:r>
    <w:r w:rsidR="00817600">
      <w:rPr>
        <w:b/>
        <w:sz w:val="28"/>
        <w:szCs w:val="28"/>
      </w:rPr>
      <w:t xml:space="preserve">                  Year Group: Year 9 (Short Stay – Cohort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008"/>
    <w:multiLevelType w:val="multilevel"/>
    <w:tmpl w:val="F89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2677E2"/>
    <w:multiLevelType w:val="multilevel"/>
    <w:tmpl w:val="E38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0505F"/>
    <w:rsid w:val="00161BE2"/>
    <w:rsid w:val="00377027"/>
    <w:rsid w:val="004845FE"/>
    <w:rsid w:val="00556F11"/>
    <w:rsid w:val="005757FE"/>
    <w:rsid w:val="005C4F07"/>
    <w:rsid w:val="00766047"/>
    <w:rsid w:val="007E2644"/>
    <w:rsid w:val="00817600"/>
    <w:rsid w:val="009C1CE0"/>
    <w:rsid w:val="00A2102F"/>
    <w:rsid w:val="00B66D26"/>
    <w:rsid w:val="00B97D44"/>
    <w:rsid w:val="00BD0DF6"/>
    <w:rsid w:val="00C03F0B"/>
    <w:rsid w:val="00CC7E80"/>
    <w:rsid w:val="00D243F8"/>
    <w:rsid w:val="00D4447F"/>
    <w:rsid w:val="00F376CC"/>
    <w:rsid w:val="00F40C9F"/>
    <w:rsid w:val="00F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FC737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customStyle="1" w:styleId="paragraph">
    <w:name w:val="paragraph"/>
    <w:basedOn w:val="Normal"/>
    <w:rsid w:val="005C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4F07"/>
  </w:style>
  <w:style w:type="character" w:customStyle="1" w:styleId="eop">
    <w:name w:val="eop"/>
    <w:basedOn w:val="DefaultParagraphFont"/>
    <w:rsid w:val="005C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Mike Walker</cp:lastModifiedBy>
  <cp:revision>7</cp:revision>
  <cp:lastPrinted>2024-02-19T12:23:00Z</cp:lastPrinted>
  <dcterms:created xsi:type="dcterms:W3CDTF">2024-04-10T11:02:00Z</dcterms:created>
  <dcterms:modified xsi:type="dcterms:W3CDTF">2025-11-11T11:29:00Z</dcterms:modified>
</cp:coreProperties>
</file>