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777A0" w:rsidR="009C1CE0" w:rsidRDefault="009C1CE0" w14:paraId="672A665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asciiTheme="majorHAnsi" w:hAnsiTheme="majorHAnsi" w:cstheme="majorHAnsi"/>
          <w:color w:val="000000"/>
        </w:rPr>
      </w:pPr>
    </w:p>
    <w:tbl>
      <w:tblPr>
        <w:tblStyle w:val="a3"/>
        <w:tblW w:w="152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539"/>
        <w:gridCol w:w="995"/>
        <w:gridCol w:w="1401"/>
        <w:gridCol w:w="2245"/>
        <w:gridCol w:w="4592"/>
      </w:tblGrid>
      <w:tr w:rsidRPr="002777A0" w:rsidR="009C1CE0" w:rsidTr="361F9002" w14:paraId="4DFA0126" w14:textId="77777777">
        <w:tc>
          <w:tcPr>
            <w:tcW w:w="15278" w:type="dxa"/>
            <w:gridSpan w:val="6"/>
            <w:tcMar/>
          </w:tcPr>
          <w:p w:rsidRPr="002777A0" w:rsidR="009C1CE0" w:rsidP="3B42962E" w:rsidRDefault="007E2644" w14:paraId="785F2924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B42962E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What will they be learning, why and in what order</w:t>
            </w:r>
            <w:r w:rsidRPr="3B42962E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?</w:t>
            </w:r>
            <w:r w:rsidRPr="3B42962E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</w:t>
            </w:r>
            <w:r w:rsidRPr="3B42962E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                      </w:t>
            </w:r>
          </w:p>
        </w:tc>
      </w:tr>
      <w:tr w:rsidRPr="002777A0" w:rsidR="009C1CE0" w:rsidTr="361F9002" w14:paraId="104BEEED" w14:textId="77777777">
        <w:trPr>
          <w:trHeight w:val="417"/>
        </w:trPr>
        <w:tc>
          <w:tcPr>
            <w:tcW w:w="1506" w:type="dxa"/>
            <w:tcMar/>
          </w:tcPr>
          <w:p w:rsidRPr="002777A0" w:rsidR="009C1CE0" w:rsidP="3B42962E" w:rsidRDefault="009C1CE0" w14:paraId="0A37501D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tcMar/>
          </w:tcPr>
          <w:p w:rsidRPr="002777A0" w:rsidR="009C1CE0" w:rsidP="3B42962E" w:rsidRDefault="00556F11" w14:paraId="489EC70D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B42962E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1</w:t>
            </w:r>
          </w:p>
          <w:p w:rsidRPr="002777A0" w:rsidR="005E6FF3" w:rsidP="3B42962E" w:rsidRDefault="005E6FF3" w14:paraId="268F608D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Bizarre Monstrosities and Fantastic Beasts</w:t>
            </w:r>
          </w:p>
          <w:p w:rsidRPr="002777A0" w:rsidR="009C1CE0" w:rsidP="3B42962E" w:rsidRDefault="005E6FF3" w14:paraId="36BA1A5F" w14:textId="6577D07F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Wall Hanging</w:t>
            </w:r>
          </w:p>
        </w:tc>
        <w:tc>
          <w:tcPr>
            <w:tcW w:w="4641" w:type="dxa"/>
            <w:gridSpan w:val="3"/>
            <w:tcMar/>
          </w:tcPr>
          <w:p w:rsidRPr="002777A0" w:rsidR="009C1CE0" w:rsidP="3B42962E" w:rsidRDefault="00556F11" w14:paraId="2DD8285B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B42962E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2</w:t>
            </w:r>
          </w:p>
          <w:p w:rsidRPr="002777A0" w:rsidR="009C1CE0" w:rsidP="3B42962E" w:rsidRDefault="005E6FF3" w14:paraId="0DC8190A" w14:textId="2B79231A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61F9002" w:rsidR="005E6FF3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Clock Design based on 20</w:t>
            </w:r>
            <w:r w:rsidRPr="361F9002" w:rsidR="005E6FF3">
              <w:rPr>
                <w:rFonts w:ascii="Corbel" w:hAnsi="Corbel" w:eastAsia="Corbel" w:cs="Corbel"/>
                <w:b w:val="1"/>
                <w:bCs w:val="1"/>
                <w:sz w:val="16"/>
                <w:szCs w:val="16"/>
                <w:vertAlign w:val="superscript"/>
              </w:rPr>
              <w:t>th</w:t>
            </w:r>
            <w:r w:rsidRPr="361F9002" w:rsidR="005E6FF3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C</w:t>
            </w:r>
            <w:r w:rsidRPr="361F9002" w:rsidR="309C18F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entury</w:t>
            </w:r>
            <w:r w:rsidRPr="361F9002" w:rsidR="005E6FF3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design.</w:t>
            </w:r>
          </w:p>
        </w:tc>
        <w:tc>
          <w:tcPr>
            <w:tcW w:w="4592" w:type="dxa"/>
            <w:tcMar/>
          </w:tcPr>
          <w:p w:rsidRPr="002777A0" w:rsidR="009C1CE0" w:rsidP="3B42962E" w:rsidRDefault="00556F11" w14:paraId="47350805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735CF08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3</w:t>
            </w:r>
          </w:p>
          <w:p w:rsidRPr="002777A0" w:rsidR="009C1CE0" w:rsidP="5735CF08" w:rsidRDefault="005E6FF3" w14:paraId="4989FF36" w14:textId="60D8DE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735CF08" w:rsidR="1FBC7595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Ceramic project in response to a brief. </w:t>
            </w:r>
          </w:p>
        </w:tc>
      </w:tr>
      <w:tr w:rsidRPr="002777A0" w:rsidR="00B66D26" w:rsidTr="361F9002" w14:paraId="519E7B0E" w14:textId="77777777">
        <w:trPr>
          <w:trHeight w:val="1562"/>
        </w:trPr>
        <w:tc>
          <w:tcPr>
            <w:tcW w:w="1506" w:type="dxa"/>
            <w:shd w:val="clear" w:color="auto" w:fill="C5E0B3" w:themeFill="accent6" w:themeFillTint="66"/>
            <w:tcMar/>
          </w:tcPr>
          <w:p w:rsidRPr="002777A0" w:rsidR="00B66D26" w:rsidP="3B42962E" w:rsidRDefault="00C03F0B" w14:paraId="073FEC98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B42962E" w:rsidR="00C03F0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Bridge</w:t>
            </w:r>
            <w:r w:rsidRPr="3B42962E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/ Foundation knowledge </w:t>
            </w:r>
            <w:r w:rsidRPr="3B42962E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required</w:t>
            </w:r>
          </w:p>
        </w:tc>
        <w:tc>
          <w:tcPr>
            <w:tcW w:w="4539" w:type="dxa"/>
            <w:shd w:val="clear" w:color="auto" w:fill="C5E0B3" w:themeFill="accent6" w:themeFillTint="66"/>
            <w:tcMar/>
          </w:tcPr>
          <w:p w:rsidRPr="002777A0" w:rsidR="00B66D26" w:rsidP="3B42962E" w:rsidRDefault="005302D6" w14:paraId="5CB34669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302D6">
              <w:rPr>
                <w:rFonts w:ascii="Corbel" w:hAnsi="Corbel" w:eastAsia="Corbel" w:cs="Corbel"/>
                <w:sz w:val="16"/>
                <w:szCs w:val="16"/>
              </w:rPr>
              <w:t>Students have explored various aspects of design processes and project-based learning to prepare them for a sequence of lessons built up over time to design, create and produce an outcome.</w:t>
            </w:r>
          </w:p>
        </w:tc>
        <w:tc>
          <w:tcPr>
            <w:tcW w:w="4641" w:type="dxa"/>
            <w:gridSpan w:val="3"/>
            <w:shd w:val="clear" w:color="auto" w:fill="C5E0B3" w:themeFill="accent6" w:themeFillTint="66"/>
            <w:tcMar/>
          </w:tcPr>
          <w:p w:rsidRPr="002777A0" w:rsidR="00B66D26" w:rsidP="3B42962E" w:rsidRDefault="00BA5255" w14:paraId="1C8F8403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BA5255">
              <w:rPr>
                <w:rFonts w:ascii="Corbel" w:hAnsi="Corbel" w:eastAsia="Corbel" w:cs="Corbel"/>
                <w:sz w:val="16"/>
                <w:szCs w:val="16"/>
              </w:rPr>
              <w:t xml:space="preserve">Research and analysis. Drawing skills. Making/modelling. </w:t>
            </w:r>
          </w:p>
        </w:tc>
        <w:tc>
          <w:tcPr>
            <w:tcW w:w="4592" w:type="dxa"/>
            <w:shd w:val="clear" w:color="auto" w:fill="C5E0B3" w:themeFill="accent6" w:themeFillTint="66"/>
            <w:tcMar/>
          </w:tcPr>
          <w:p w:rsidRPr="002777A0" w:rsidR="00B66D26" w:rsidP="3B42962E" w:rsidRDefault="00E6223A" w14:paraId="375182EE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 xml:space="preserve">Building on design processes, research, making skills. </w:t>
            </w:r>
          </w:p>
        </w:tc>
      </w:tr>
      <w:tr w:rsidRPr="002777A0" w:rsidR="00E6223A" w:rsidTr="361F9002" w14:paraId="3B1AEB30" w14:textId="77777777">
        <w:trPr>
          <w:trHeight w:val="1536"/>
        </w:trPr>
        <w:tc>
          <w:tcPr>
            <w:tcW w:w="1506" w:type="dxa"/>
            <w:tcMar/>
          </w:tcPr>
          <w:p w:rsidRPr="002777A0" w:rsidR="00E6223A" w:rsidP="3B42962E" w:rsidRDefault="00E6223A" w14:paraId="5DAB6C7B" w14:textId="77777777" w14:noSpellErr="1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Pr="002777A0" w:rsidR="00E6223A" w:rsidP="3B42962E" w:rsidRDefault="00E6223A" w14:paraId="6A2807C8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Key Learning Experience / Skills</w:t>
            </w:r>
          </w:p>
          <w:p w:rsidRPr="002777A0" w:rsidR="00E6223A" w:rsidP="3B42962E" w:rsidRDefault="00E6223A" w14:paraId="02EB378F" w14:textId="77777777" w14:noSpellErr="1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tcMar/>
          </w:tcPr>
          <w:p w:rsidRPr="00341165" w:rsidR="005E6FF3" w:rsidP="3B42962E" w:rsidRDefault="005E6FF3" w14:paraId="00ACEAD4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Analyses of the work of Dan Reeder, 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Ian Miller, Warren Ludwig. </w:t>
            </w:r>
          </w:p>
          <w:p w:rsidRPr="00341165" w:rsidR="005E6FF3" w:rsidP="3B42962E" w:rsidRDefault="005E6FF3" w14:paraId="04B976AD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Visual studies of these artists/designers to inform ideas on 3D work. 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Drawing skills. </w:t>
            </w:r>
          </w:p>
          <w:p w:rsidRPr="00341165" w:rsidR="005E6FF3" w:rsidP="3B42962E" w:rsidRDefault="005E6FF3" w14:paraId="5A0A6C0A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>Learning how to use imagination to develop creativity in making a m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>onster montage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. This will be 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developed into 2D idea 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>in order to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 stimulate individual imaginative and creative response. Use of pens to render 2D image as a 3D object. </w:t>
            </w:r>
          </w:p>
          <w:p w:rsidRPr="00341165" w:rsidR="005E6FF3" w:rsidP="3B42962E" w:rsidRDefault="005E6FF3" w14:paraId="5CDFB2E0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How to develop 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Ideas 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making 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sketches that are informed by artist analysis, their montage work and/or the potential images created by montage work. </w:t>
            </w:r>
          </w:p>
          <w:p w:rsidRPr="00341165" w:rsidR="005E6FF3" w:rsidP="3B42962E" w:rsidRDefault="005E6FF3" w14:paraId="0CDE23E7" w14:textId="77777777" w14:noSpellErr="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Health and safety 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>regarding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 the safe use of cutting tools and hot glue guns.</w:t>
            </w:r>
          </w:p>
          <w:p w:rsidRPr="00341165" w:rsidR="005E6FF3" w:rsidP="3B42962E" w:rsidRDefault="005E6FF3" w14:paraId="4114174E" w14:textId="77777777" w14:noSpellErr="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>Cardboard construction of basic skeleton frame.</w:t>
            </w:r>
          </w:p>
          <w:p w:rsidRPr="00341165" w:rsidR="005E6FF3" w:rsidP="3B42962E" w:rsidRDefault="005E6FF3" w14:paraId="3ACEE2A1" w14:textId="77777777" w14:noSpellErr="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>Learning how to u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se 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papier 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>máchê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to 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>consolidate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form 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 and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 add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 fine detail such as texture. </w:t>
            </w:r>
          </w:p>
          <w:p w:rsidRPr="00341165" w:rsidR="005E6FF3" w:rsidP="3B42962E" w:rsidRDefault="005E6FF3" w14:paraId="2DD9056B" w14:textId="77777777" w14:noSpellErr="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Painting lessons will obviously focus on colour but also use of tone to enhance textures and 3D aspects. </w:t>
            </w:r>
          </w:p>
          <w:p w:rsidRPr="00341165" w:rsidR="005E6FF3" w:rsidP="3B42962E" w:rsidRDefault="005E6FF3" w14:paraId="79B1A5EC" w14:textId="77777777" w14:noSpellErr="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Evaluation of final piece as a means of encouraging on-going habits of critical awareness and analysis</w:t>
            </w:r>
          </w:p>
          <w:p w:rsidRPr="002777A0" w:rsidR="00E6223A" w:rsidP="3B42962E" w:rsidRDefault="00E6223A" w14:paraId="5A39BBE3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tcMar/>
            <w:vAlign w:val="center"/>
          </w:tcPr>
          <w:p w:rsidR="005E6FF3" w:rsidP="3B42962E" w:rsidRDefault="005E6FF3" w14:paraId="19D6402D" w14:textId="77777777" w14:noSpellErr="1">
            <w:pPr>
              <w:pStyle w:val="paragraph"/>
              <w:numPr>
                <w:ilvl w:val="0"/>
                <w:numId w:val="5"/>
              </w:numPr>
              <w:spacing w:after="0"/>
              <w:jc w:val="both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bookmarkStart w:name="_GoBack" w:id="1"/>
            <w:bookmarkEnd w:id="1"/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>Researching various 20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  <w:vertAlign w:val="superscript"/>
              </w:rPr>
              <w:t>th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 century art and design movements in particular Op Art, Surrealism, Abstraction and Pop Art.</w:t>
            </w:r>
          </w:p>
          <w:p w:rsidR="005E6FF3" w:rsidP="3B42962E" w:rsidRDefault="005E6FF3" w14:paraId="27C99548" w14:textId="77777777" w14:noSpellErr="1">
            <w:pPr>
              <w:pStyle w:val="paragraph"/>
              <w:numPr>
                <w:ilvl w:val="0"/>
                <w:numId w:val="5"/>
              </w:numPr>
              <w:spacing w:after="0"/>
              <w:jc w:val="both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>Making visual studies and written analyses to inform ideas. Drawing skills.</w:t>
            </w:r>
          </w:p>
          <w:p w:rsidR="005E6FF3" w:rsidP="3B42962E" w:rsidRDefault="005E6FF3" w14:paraId="5332E03C" w14:textId="77777777" w14:noSpellErr="1">
            <w:pPr>
              <w:pStyle w:val="paragraph"/>
              <w:numPr>
                <w:ilvl w:val="0"/>
                <w:numId w:val="5"/>
              </w:numPr>
              <w:spacing w:after="0"/>
              <w:jc w:val="both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Various idea sketches in colour. Annotated to develop analytical consideration. </w:t>
            </w:r>
          </w:p>
          <w:p w:rsidR="005E6FF3" w:rsidP="3B42962E" w:rsidRDefault="005E6FF3" w14:paraId="7C068AEF" w14:textId="2CF52255" w14:noSpellErr="1">
            <w:pPr>
              <w:pStyle w:val="paragraph"/>
              <w:numPr>
                <w:ilvl w:val="0"/>
                <w:numId w:val="5"/>
              </w:numPr>
              <w:spacing w:after="0"/>
              <w:jc w:val="both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Cardboard maquette of chosen idea with colour. </w:t>
            </w:r>
          </w:p>
          <w:p w:rsidR="005E6FF3" w:rsidP="3B42962E" w:rsidRDefault="005E6FF3" w14:paraId="220CFD5E" w14:textId="77777777" w14:noSpellErr="1">
            <w:pPr>
              <w:pStyle w:val="paragraph"/>
              <w:numPr>
                <w:ilvl w:val="0"/>
                <w:numId w:val="5"/>
              </w:numPr>
              <w:spacing w:after="0"/>
              <w:jc w:val="both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Using 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>appropriate software</w:t>
            </w: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 students will make their own idea which will be cut out of MDF and/or acrylic sheet.</w:t>
            </w:r>
          </w:p>
          <w:p w:rsidRPr="00DB28D0" w:rsidR="005E6FF3" w:rsidP="3B42962E" w:rsidRDefault="005E6FF3" w14:paraId="6760D371" w14:textId="77777777" w14:noSpellErr="1">
            <w:pPr>
              <w:pStyle w:val="paragraph"/>
              <w:numPr>
                <w:ilvl w:val="0"/>
                <w:numId w:val="5"/>
              </w:numPr>
              <w:spacing w:after="0"/>
              <w:jc w:val="both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 xml:space="preserve">Ideas will be painted to match ideas based on their chosen design movement. </w:t>
            </w:r>
          </w:p>
          <w:p w:rsidRPr="005E6FF3" w:rsidR="005E6FF3" w:rsidP="3B42962E" w:rsidRDefault="005E6FF3" w14:paraId="089C7D28" w14:textId="77777777" w14:noSpellErr="1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Evaluation of final piece as a means of encouraging on-going habits of critical awareness and analysis.</w:t>
            </w:r>
          </w:p>
          <w:p w:rsidR="005E6FF3" w:rsidP="3B42962E" w:rsidRDefault="005E6FF3" w14:paraId="767A189B" w14:textId="77777777" w14:noSpellErr="1">
            <w:pPr>
              <w:pStyle w:val="paragraph"/>
              <w:numPr>
                <w:ilvl w:val="0"/>
                <w:numId w:val="5"/>
              </w:numPr>
              <w:spacing w:after="0"/>
              <w:jc w:val="both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>Extension - Production of picture frame in the same style to create a ‘suite’ of products</w:t>
            </w:r>
          </w:p>
          <w:p w:rsidRPr="00381E43" w:rsidR="00E6223A" w:rsidP="3B42962E" w:rsidRDefault="00E6223A" w14:paraId="72A3D3EC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592" w:type="dxa"/>
            <w:tcMar/>
            <w:vAlign w:val="center"/>
          </w:tcPr>
          <w:p w:rsidR="3160F6F3" w:rsidP="5AEE4828" w:rsidRDefault="3160F6F3" w14:paraId="07316F2F" w14:textId="20B7FE2E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orbel" w:hAnsi="Corbel" w:eastAsia="Corbel" w:cs="Corbel"/>
                <w:sz w:val="22"/>
                <w:szCs w:val="22"/>
              </w:rPr>
            </w:pPr>
            <w:r w:rsidRPr="5735CF08" w:rsidR="3160F6F3">
              <w:rPr>
                <w:rFonts w:ascii="Corbel" w:hAnsi="Corbel" w:eastAsia="Corbel" w:cs="Corbel"/>
                <w:sz w:val="16"/>
                <w:szCs w:val="16"/>
              </w:rPr>
              <w:t xml:space="preserve">Selecting from a series of briefs. </w:t>
            </w:r>
          </w:p>
          <w:p w:rsidR="08F209A2" w:rsidP="5735CF08" w:rsidRDefault="08F209A2" w14:paraId="639A40DD" w14:textId="6DC2C4C8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orbel" w:hAnsi="Corbel" w:eastAsia="Corbel" w:cs="Corbel"/>
                <w:sz w:val="22"/>
                <w:szCs w:val="22"/>
              </w:rPr>
            </w:pPr>
            <w:r w:rsidRPr="5735CF08" w:rsidR="08F209A2">
              <w:rPr>
                <w:rFonts w:ascii="Corbel" w:hAnsi="Corbel" w:eastAsia="Corbel" w:cs="Corbel"/>
                <w:sz w:val="16"/>
                <w:szCs w:val="16"/>
              </w:rPr>
              <w:t xml:space="preserve">Careers link to designer’s working processes. </w:t>
            </w:r>
          </w:p>
          <w:p w:rsidR="005E6FF3" w:rsidP="5AEE4828" w:rsidRDefault="005E6FF3" w14:paraId="039731DB" w14:textId="62E3ED13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orbel" w:hAnsi="Corbel" w:eastAsia="Corbel" w:cs="Corbel"/>
                <w:sz w:val="22"/>
                <w:szCs w:val="22"/>
              </w:rPr>
            </w:pPr>
            <w:r w:rsidRPr="5AEE4828" w:rsidR="005E6FF3">
              <w:rPr>
                <w:rFonts w:ascii="Corbel" w:hAnsi="Corbel" w:eastAsia="Corbel" w:cs="Corbel"/>
                <w:sz w:val="16"/>
                <w:szCs w:val="16"/>
              </w:rPr>
              <w:t xml:space="preserve">Researching artists and designers </w:t>
            </w:r>
            <w:r w:rsidRPr="5AEE4828" w:rsidR="52D61BF7">
              <w:rPr>
                <w:rFonts w:ascii="Corbel" w:hAnsi="Corbel" w:eastAsia="Corbel" w:cs="Corbel"/>
                <w:sz w:val="16"/>
                <w:szCs w:val="16"/>
              </w:rPr>
              <w:t xml:space="preserve">relevant to chosen brief. </w:t>
            </w:r>
          </w:p>
          <w:p w:rsidRPr="002777A0" w:rsidR="005E6FF3" w:rsidP="3B42962E" w:rsidRDefault="005E6FF3" w14:paraId="6954FF17" w14:textId="77777777" w14:noSpellErr="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Fonts w:ascii="Corbel" w:hAnsi="Corbel" w:eastAsia="Corbel" w:cs="Corbel"/>
                <w:sz w:val="16"/>
                <w:szCs w:val="16"/>
              </w:rPr>
              <w:t>Creating visual studies of the work of artists and designers.</w:t>
            </w:r>
          </w:p>
          <w:p w:rsidRPr="002777A0" w:rsidR="005E6FF3" w:rsidP="3B42962E" w:rsidRDefault="005E6FF3" w14:paraId="7CCB0BE3" w14:noSpellErr="1" w14:textId="4A17D1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5735CF08" w:rsidR="005E6FF3">
              <w:rPr>
                <w:rFonts w:ascii="Corbel" w:hAnsi="Corbel" w:eastAsia="Corbel" w:cs="Corbel"/>
                <w:sz w:val="16"/>
                <w:szCs w:val="16"/>
              </w:rPr>
              <w:t>Developing art/illustrative abilities in rendering 2D imagery of primary and secondary source flora as 3D.</w:t>
            </w:r>
          </w:p>
          <w:p w:rsidRPr="002777A0" w:rsidR="005E6FF3" w:rsidP="3B42962E" w:rsidRDefault="005E6FF3" w14:paraId="0F68B155" w14:textId="5A46B86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5735CF08" w:rsidR="005E6FF3">
              <w:rPr>
                <w:rFonts w:ascii="Corbel" w:hAnsi="Corbel" w:eastAsia="Corbel" w:cs="Corbel"/>
                <w:sz w:val="16"/>
                <w:szCs w:val="16"/>
              </w:rPr>
              <w:t>Producing sketches of own ideas</w:t>
            </w:r>
            <w:r w:rsidRPr="5735CF08" w:rsidR="2407A808">
              <w:rPr>
                <w:rFonts w:ascii="Corbel" w:hAnsi="Corbel" w:eastAsia="Corbel" w:cs="Corbel"/>
                <w:sz w:val="16"/>
                <w:szCs w:val="16"/>
              </w:rPr>
              <w:t>.</w:t>
            </w:r>
          </w:p>
          <w:p w:rsidRPr="002777A0" w:rsidR="005E6FF3" w:rsidP="3B42962E" w:rsidRDefault="005E6FF3" w14:paraId="306754BC" w14:textId="77777777" w14:noSpellErr="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  <w:r w:rsidRPr="3B42962E" w:rsidR="005E6FF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Learning how to use c</w:t>
            </w:r>
            <w:r w:rsidRPr="3B42962E" w:rsidR="005E6FF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eramic</w:t>
            </w:r>
            <w:r w:rsidRPr="3B42962E" w:rsidR="005E6FF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s to create a</w:t>
            </w:r>
            <w:r w:rsidRPr="3B42962E" w:rsidR="005E6FF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prototype </w:t>
            </w:r>
            <w:r w:rsidRPr="3B42962E" w:rsidR="005E6FF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consolidating</w:t>
            </w:r>
            <w:r w:rsidRPr="3B42962E" w:rsidR="005E6FF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ideas and again developing further to produce 3D/relief idea.</w:t>
            </w:r>
          </w:p>
          <w:p w:rsidRPr="002777A0" w:rsidR="005E6FF3" w:rsidP="5735CF08" w:rsidRDefault="005E6FF3" w14:paraId="78E7B71D" w14:textId="510EC6D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Style w:val="normaltextrun"/>
                <w:rFonts w:ascii="Corbel" w:hAnsi="Corbel" w:eastAsia="Corbel" w:cs="Corbel"/>
                <w:sz w:val="22"/>
                <w:szCs w:val="22"/>
              </w:rPr>
            </w:pPr>
            <w:r w:rsidRPr="5735CF08" w:rsidR="005E6FF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Use of colour in painting final piece to match those seen in </w:t>
            </w:r>
            <w:r w:rsidRPr="5735CF08" w:rsidR="60C2C414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own plann</w:t>
            </w:r>
            <w:r w:rsidRPr="5735CF08" w:rsidR="733E201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ing </w:t>
            </w:r>
            <w:r w:rsidRPr="5735CF08" w:rsidR="005E6FF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work including artist studies</w:t>
            </w:r>
            <w:r w:rsidRPr="5735CF08" w:rsidR="52C230B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.</w:t>
            </w:r>
          </w:p>
          <w:p w:rsidRPr="002777A0" w:rsidR="005E6FF3" w:rsidP="5735CF08" w:rsidRDefault="005E6FF3" w14:paraId="05A356A9" w14:textId="22B99A3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Style w:val="normaltextrun"/>
                <w:rFonts w:ascii="Corbel" w:hAnsi="Corbel" w:eastAsia="Corbel" w:cs="Corbel"/>
                <w:sz w:val="22"/>
                <w:szCs w:val="22"/>
              </w:rPr>
            </w:pPr>
            <w:r w:rsidRPr="5735CF08" w:rsidR="005E6FF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Evaluation of final piece as a means of encouraging on-going habits of critical awareness and analysis.</w:t>
            </w:r>
          </w:p>
          <w:p w:rsidRPr="002777A0" w:rsidR="005E6FF3" w:rsidP="3B42962E" w:rsidRDefault="005E6FF3" w14:paraId="664032F6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Pr="00BF0EF0" w:rsidR="00E6223A" w:rsidP="3B42962E" w:rsidRDefault="00E6223A" w14:paraId="0D0B940D" w14:textId="77777777" w14:noSpellErr="1">
            <w:pPr>
              <w:pStyle w:val="paragraph"/>
              <w:spacing w:after="0"/>
              <w:ind w:left="360"/>
              <w:jc w:val="both"/>
              <w:textAlignment w:val="baseline"/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</w:pPr>
          </w:p>
          <w:p w:rsidRPr="00677262" w:rsidR="00E6223A" w:rsidP="3B42962E" w:rsidRDefault="00E6223A" w14:paraId="0E27B00A" w14:textId="77777777" w14:noSpellErr="1">
            <w:pPr>
              <w:pStyle w:val="paragraph"/>
              <w:spacing w:before="0" w:beforeAutospacing="off" w:after="0" w:afterAutospacing="off"/>
              <w:ind w:left="360"/>
              <w:jc w:val="both"/>
              <w:textAlignment w:val="baseline"/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</w:pPr>
          </w:p>
        </w:tc>
      </w:tr>
      <w:tr w:rsidRPr="002777A0" w:rsidR="00E6223A" w:rsidTr="361F9002" w14:paraId="2E505F8D" w14:textId="77777777">
        <w:trPr>
          <w:trHeight w:val="1197"/>
        </w:trPr>
        <w:tc>
          <w:tcPr>
            <w:tcW w:w="1506" w:type="dxa"/>
            <w:tcMar/>
          </w:tcPr>
          <w:p w:rsidRPr="002777A0" w:rsidR="00E6223A" w:rsidP="3B42962E" w:rsidRDefault="00E6223A" w14:paraId="5AEEA579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Assessment</w:t>
            </w:r>
          </w:p>
          <w:p w:rsidRPr="002777A0" w:rsidR="00E6223A" w:rsidP="3B42962E" w:rsidRDefault="00E6223A" w14:paraId="6E3D0DA3" w14:textId="77777777" w14:noSpellErr="1">
            <w:pPr>
              <w:jc w:val="center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How will you assess the impact of teaching?</w:t>
            </w:r>
          </w:p>
          <w:p w:rsidRPr="002777A0" w:rsidR="00E6223A" w:rsidP="3B42962E" w:rsidRDefault="00E6223A" w14:paraId="60061E4C" w14:textId="77777777" w14:noSpellErr="1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tcMar/>
          </w:tcPr>
          <w:p w:rsidRPr="002777A0" w:rsidR="00CB6DA3" w:rsidP="3B42962E" w:rsidRDefault="00CB6DA3" w14:paraId="42CA8E34" w14:textId="77777777" w14:noSpellErr="1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CB6DA3">
              <w:rPr>
                <w:rFonts w:ascii="Corbel" w:hAnsi="Corbel" w:eastAsia="Corbel" w:cs="Corbel"/>
                <w:sz w:val="16"/>
                <w:szCs w:val="16"/>
              </w:rPr>
              <w:t xml:space="preserve">Constant feedback through verbal interaction. </w:t>
            </w:r>
          </w:p>
          <w:p w:rsidRPr="002777A0" w:rsidR="00CB6DA3" w:rsidP="3B42962E" w:rsidRDefault="00CB6DA3" w14:paraId="6FBE27FF" w14:textId="77777777" w14:noSpellErr="1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CB6DA3">
              <w:rPr>
                <w:rStyle w:val="normaltextrun"/>
                <w:rFonts w:ascii="Corbel" w:hAnsi="Corbel" w:eastAsia="Corbel" w:cs="Corbel"/>
                <w:color w:val="000000"/>
                <w:sz w:val="16"/>
                <w:szCs w:val="16"/>
                <w:shd w:val="clear" w:color="auto" w:fill="FFFFFF"/>
              </w:rPr>
              <w:t>Mid -term assessment criteria </w:t>
            </w:r>
            <w:r w:rsidRPr="3B42962E" w:rsidR="00CB6DA3">
              <w:rPr>
                <w:rStyle w:val="eop"/>
                <w:rFonts w:ascii="Corbel" w:hAnsi="Corbel" w:eastAsia="Corbel" w:cs="Corbe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CB6DA3" w:rsidP="3B42962E" w:rsidRDefault="00CB6DA3" w14:paraId="6D1149EF" w14:textId="77777777" w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Style w:val="eop"/>
                <w:rFonts w:ascii="Corbel" w:hAnsi="Corbel" w:eastAsia="Corbel" w:cs="Corbel"/>
                <w:sz w:val="16"/>
                <w:szCs w:val="16"/>
              </w:rPr>
            </w:pPr>
            <w:r w:rsidRPr="3B42962E" w:rsidR="00CB6DA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Use of visual language in questioning and analysis of designers’ work </w:t>
            </w:r>
            <w:r w:rsidRPr="3B42962E" w:rsidR="00CB6DA3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2777A0" w:rsidR="00CB6DA3" w:rsidP="3B42962E" w:rsidRDefault="00CB6DA3" w14:paraId="4B4E5008" w14:textId="77777777" w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CB6DA3">
              <w:rPr>
                <w:rFonts w:ascii="Corbel" w:hAnsi="Corbel" w:eastAsia="Corbel" w:cs="Corbel"/>
                <w:sz w:val="16"/>
                <w:szCs w:val="16"/>
              </w:rPr>
              <w:t>Montage image.</w:t>
            </w:r>
          </w:p>
          <w:p w:rsidRPr="002777A0" w:rsidR="00CB6DA3" w:rsidP="3B42962E" w:rsidRDefault="00CB6DA3" w14:paraId="166126A3" w14:textId="77777777" w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CB6DA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Own work created in response to the artists’/designers’ work</w:t>
            </w:r>
            <w:r w:rsidRPr="3B42962E" w:rsidR="00CB6DA3">
              <w:rPr>
                <w:rStyle w:val="eop"/>
                <w:rFonts w:ascii="Corbel" w:hAnsi="Corbel" w:eastAsia="Corbel" w:cs="Corbel"/>
                <w:sz w:val="16"/>
                <w:szCs w:val="16"/>
              </w:rPr>
              <w:t>.</w:t>
            </w:r>
          </w:p>
          <w:p w:rsidRPr="002777A0" w:rsidR="00CB6DA3" w:rsidP="3B42962E" w:rsidRDefault="00CB6DA3" w14:paraId="28140BFD" w14:textId="77777777" w14:noSpellErr="1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</w:pPr>
            <w:r w:rsidRPr="3B42962E" w:rsidR="00CB6DA3">
              <w:rPr>
                <w:rFonts w:ascii="Corbel" w:hAnsi="Corbel" w:eastAsia="Corbel" w:cs="Corbel"/>
                <w:sz w:val="16"/>
                <w:szCs w:val="16"/>
              </w:rPr>
              <w:t>NOW NEXT THEN tasks on the board.</w:t>
            </w:r>
            <w:r w:rsidRPr="3B42962E" w:rsidR="00CB6DA3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 xml:space="preserve"> </w:t>
            </w:r>
          </w:p>
          <w:p w:rsidRPr="002777A0" w:rsidR="00E6223A" w:rsidP="361F9002" w:rsidRDefault="00E6223A" w14:paraId="44EAFD9C" w14:textId="77777777" w14:noSpellErr="1">
            <w:pPr>
              <w:pStyle w:val="paragraph"/>
              <w:spacing w:before="0" w:beforeAutospacing="off" w:after="0" w:afterAutospacing="off"/>
              <w:ind w:left="720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tcMar/>
          </w:tcPr>
          <w:p w:rsidRPr="002777A0" w:rsidR="00CB6DA3" w:rsidP="3B42962E" w:rsidRDefault="00CB6DA3" w14:paraId="71193E49" w14:textId="77777777" w14:noSpellErr="1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CB6DA3">
              <w:rPr>
                <w:rFonts w:ascii="Corbel" w:hAnsi="Corbel" w:eastAsia="Corbel" w:cs="Corbel"/>
                <w:sz w:val="16"/>
                <w:szCs w:val="16"/>
              </w:rPr>
              <w:t xml:space="preserve">Constant feedback through verbal interaction. </w:t>
            </w:r>
          </w:p>
          <w:p w:rsidRPr="002777A0" w:rsidR="00CB6DA3" w:rsidP="3B42962E" w:rsidRDefault="00CB6DA3" w14:paraId="70776E54" w14:textId="77777777" w14:noSpellErr="1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CB6DA3">
              <w:rPr>
                <w:rStyle w:val="normaltextrun"/>
                <w:rFonts w:ascii="Corbel" w:hAnsi="Corbel" w:eastAsia="Corbel" w:cs="Corbel"/>
                <w:color w:val="000000"/>
                <w:sz w:val="16"/>
                <w:szCs w:val="16"/>
                <w:shd w:val="clear" w:color="auto" w:fill="FFFFFF"/>
              </w:rPr>
              <w:t>Mid -term assessment criteria </w:t>
            </w:r>
            <w:r w:rsidRPr="3B42962E" w:rsidR="00CB6DA3">
              <w:rPr>
                <w:rStyle w:val="eop"/>
                <w:rFonts w:ascii="Corbel" w:hAnsi="Corbel" w:eastAsia="Corbel" w:cs="Corbe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Pr="002677F7" w:rsidR="00CB6DA3" w:rsidP="3B42962E" w:rsidRDefault="00CB6DA3" w14:paraId="30D07771" w14:textId="77777777" w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Style w:val="eop"/>
                <w:rFonts w:ascii="Corbel" w:hAnsi="Corbel" w:eastAsia="Corbel" w:cs="Corbel"/>
                <w:sz w:val="16"/>
                <w:szCs w:val="16"/>
              </w:rPr>
            </w:pPr>
            <w:r w:rsidRPr="3B42962E" w:rsidR="00CB6DA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Use of visual language in questioning and analysis of designers’ work.</w:t>
            </w:r>
          </w:p>
          <w:p w:rsidR="00CB6DA3" w:rsidP="3B42962E" w:rsidRDefault="00CB6DA3" w14:paraId="4882E552" w14:textId="77777777" w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Style w:val="eop"/>
                <w:rFonts w:ascii="Corbel" w:hAnsi="Corbel" w:eastAsia="Corbel" w:cs="Corbel"/>
                <w:sz w:val="16"/>
                <w:szCs w:val="16"/>
              </w:rPr>
            </w:pPr>
            <w:r w:rsidRPr="3B42962E" w:rsidR="00CB6DA3">
              <w:rPr>
                <w:rStyle w:val="eop"/>
                <w:rFonts w:ascii="Corbel" w:hAnsi="Corbel" w:eastAsia="Corbel" w:cs="Corbel"/>
                <w:sz w:val="16"/>
                <w:szCs w:val="16"/>
              </w:rPr>
              <w:t>Idea sketches.</w:t>
            </w:r>
          </w:p>
          <w:p w:rsidRPr="002777A0" w:rsidR="00CB6DA3" w:rsidP="3B42962E" w:rsidRDefault="00CB6DA3" w14:paraId="60A44843" w14:textId="77777777" w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CB6DA3">
              <w:rPr>
                <w:rFonts w:ascii="Corbel" w:hAnsi="Corbel" w:eastAsia="Corbel" w:cs="Corbel"/>
                <w:sz w:val="16"/>
                <w:szCs w:val="16"/>
              </w:rPr>
              <w:t>Clock maquette.</w:t>
            </w:r>
          </w:p>
          <w:p w:rsidRPr="002777A0" w:rsidR="00CB6DA3" w:rsidP="3B42962E" w:rsidRDefault="00CB6DA3" w14:paraId="19752B80" w14:textId="77777777" w14:noSpellErr="1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</w:pPr>
            <w:r w:rsidRPr="3B42962E" w:rsidR="00CB6DA3">
              <w:rPr>
                <w:rFonts w:ascii="Corbel" w:hAnsi="Corbel" w:eastAsia="Corbel" w:cs="Corbel"/>
                <w:sz w:val="16"/>
                <w:szCs w:val="16"/>
              </w:rPr>
              <w:t>NOW NEXT THEN tasks on the board.</w:t>
            </w:r>
            <w:r w:rsidRPr="3B42962E" w:rsidR="00CB6DA3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 xml:space="preserve"> </w:t>
            </w:r>
          </w:p>
          <w:p w:rsidRPr="002777A0" w:rsidR="00E6223A" w:rsidP="361F9002" w:rsidRDefault="00E6223A" w14:paraId="4B94D5A5" w14:textId="77777777" w14:noSpellErr="1">
            <w:pPr>
              <w:pStyle w:val="ListParagraph"/>
              <w:spacing w:line="257" w:lineRule="auto"/>
              <w:ind w:left="720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592" w:type="dxa"/>
            <w:tcMar/>
          </w:tcPr>
          <w:p w:rsidRPr="002777A0" w:rsidR="00CB6DA3" w:rsidP="3B42962E" w:rsidRDefault="00CB6DA3" w14:paraId="4803F94A" w14:textId="77777777" w14:noSpellErr="1">
            <w:pPr>
              <w:pStyle w:val="ListParagraph"/>
              <w:numPr>
                <w:ilvl w:val="0"/>
                <w:numId w:val="2"/>
              </w:numPr>
              <w:spacing w:after="16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CB6DA3">
              <w:rPr>
                <w:rFonts w:ascii="Corbel" w:hAnsi="Corbel" w:eastAsia="Corbel" w:cs="Corbel"/>
                <w:sz w:val="16"/>
                <w:szCs w:val="16"/>
              </w:rPr>
              <w:t xml:space="preserve">Constant feedback through verbal interaction. </w:t>
            </w:r>
          </w:p>
          <w:p w:rsidRPr="002777A0" w:rsidR="00CB6DA3" w:rsidP="3B42962E" w:rsidRDefault="00CB6DA3" w14:paraId="5B7F5D41" w14:textId="77777777" w14:noSpellErr="1">
            <w:pPr>
              <w:pStyle w:val="ListParagraph"/>
              <w:numPr>
                <w:ilvl w:val="0"/>
                <w:numId w:val="2"/>
              </w:numPr>
              <w:spacing w:after="16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CB6DA3">
              <w:rPr>
                <w:rStyle w:val="normaltextrun"/>
                <w:rFonts w:ascii="Corbel" w:hAnsi="Corbel" w:eastAsia="Corbel" w:cs="Corbel"/>
                <w:color w:val="000000"/>
                <w:sz w:val="16"/>
                <w:szCs w:val="16"/>
                <w:shd w:val="clear" w:color="auto" w:fill="FFFFFF"/>
              </w:rPr>
              <w:t>Mid -term assessment criteria </w:t>
            </w:r>
            <w:r w:rsidRPr="3B42962E" w:rsidR="00CB6DA3">
              <w:rPr>
                <w:rStyle w:val="eop"/>
                <w:rFonts w:ascii="Corbel" w:hAnsi="Corbel" w:eastAsia="Corbel" w:cs="Corbe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Pr="002777A0" w:rsidR="00CB6DA3" w:rsidP="3B42962E" w:rsidRDefault="00CB6DA3" w14:paraId="40296A7E" w14:textId="77777777" w14:noSpellErr="1">
            <w:pPr>
              <w:pStyle w:val="ListParagraph"/>
              <w:numPr>
                <w:ilvl w:val="0"/>
                <w:numId w:val="2"/>
              </w:numPr>
              <w:spacing w:after="160" w:line="257" w:lineRule="auto"/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</w:pPr>
            <w:r w:rsidRPr="3B42962E" w:rsidR="00CB6DA3">
              <w:rPr>
                <w:rFonts w:ascii="Corbel" w:hAnsi="Corbel" w:eastAsia="Corbel" w:cs="Corbel"/>
                <w:sz w:val="16"/>
                <w:szCs w:val="16"/>
              </w:rPr>
              <w:t>NOW NEXT THEN tasks on the board.</w:t>
            </w:r>
            <w:r w:rsidRPr="3B42962E" w:rsidR="00CB6DA3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 xml:space="preserve"> </w:t>
            </w:r>
          </w:p>
          <w:p w:rsidRPr="002777A0" w:rsidR="00CB6DA3" w:rsidP="3B42962E" w:rsidRDefault="00CB6DA3" w14:paraId="0FE7427C" w14:textId="77777777" w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CB6DA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Use of visual language in questioning and analysis of designers’ work </w:t>
            </w:r>
            <w:r w:rsidRPr="3B42962E" w:rsidR="00CB6DA3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2777A0" w:rsidR="00CB6DA3" w:rsidP="3B42962E" w:rsidRDefault="00CB6DA3" w14:paraId="35EE594D" w14:textId="77777777" w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CB6DA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Own work created in response to the artists’/designers’ work</w:t>
            </w:r>
            <w:r w:rsidRPr="3B42962E" w:rsidR="00CB6DA3">
              <w:rPr>
                <w:rStyle w:val="eop"/>
                <w:rFonts w:ascii="Corbel" w:hAnsi="Corbel" w:eastAsia="Corbel" w:cs="Corbel"/>
                <w:sz w:val="16"/>
                <w:szCs w:val="16"/>
              </w:rPr>
              <w:t>.</w:t>
            </w:r>
          </w:p>
          <w:p w:rsidRPr="002777A0" w:rsidR="00E6223A" w:rsidP="361F9002" w:rsidRDefault="00E6223A" w14:paraId="3DEEC669" w14:textId="77777777" w14:noSpellErr="1">
            <w:pPr>
              <w:pStyle w:val="ListParagraph"/>
              <w:spacing w:line="257" w:lineRule="auto"/>
              <w:ind w:left="720"/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w:rsidRPr="002777A0" w:rsidR="00E6223A" w:rsidTr="361F9002" w14:paraId="17DAC14D" w14:textId="77777777">
        <w:tc>
          <w:tcPr>
            <w:tcW w:w="1506" w:type="dxa"/>
            <w:shd w:val="clear" w:color="auto" w:fill="BDD6EE" w:themeFill="accent1" w:themeFillTint="66"/>
            <w:tcMar/>
          </w:tcPr>
          <w:p w:rsidRPr="002777A0" w:rsidR="00E6223A" w:rsidP="3B42962E" w:rsidRDefault="00E6223A" w14:paraId="3F8BADB7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CIAG Links</w:t>
            </w:r>
          </w:p>
          <w:p w:rsidRPr="002777A0" w:rsidR="00E6223A" w:rsidP="3B42962E" w:rsidRDefault="00E6223A" w14:paraId="3656B9AB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Pr="002777A0" w:rsidR="00E6223A" w:rsidP="3B42962E" w:rsidRDefault="00E6223A" w14:paraId="45FB0818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Pr="002777A0" w:rsidR="00E6223A" w:rsidP="3B42962E" w:rsidRDefault="00E6223A" w14:paraId="049F31CB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shd w:val="clear" w:color="auto" w:fill="BDD6EE" w:themeFill="accent1" w:themeFillTint="66"/>
            <w:tcMar/>
          </w:tcPr>
          <w:p w:rsidRPr="002777A0" w:rsidR="00E6223A" w:rsidP="3B42962E" w:rsidRDefault="00E6223A" w14:paraId="19AB41CB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bookmarkStart w:name="_heading=h.lzj08clgz6j4" w:id="2"/>
            <w:bookmarkEnd w:id="2"/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 </w:t>
            </w:r>
          </w:p>
          <w:p w:rsidRPr="002777A0" w:rsidR="00E6223A" w:rsidP="3B42962E" w:rsidRDefault="00E6223A" w14:paraId="02DE2176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Listening, creativity.</w:t>
            </w:r>
          </w:p>
          <w:p w:rsidRPr="002777A0" w:rsidR="00E6223A" w:rsidP="3B42962E" w:rsidRDefault="00E6223A" w14:paraId="164EE824" w14:textId="5E0AFB81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Developing psych</w:t>
            </w:r>
            <w:r w:rsidRPr="3B42962E" w:rsidR="6C1D5FA3">
              <w:rPr>
                <w:rFonts w:ascii="Corbel" w:hAnsi="Corbel" w:eastAsia="Corbel" w:cs="Corbel"/>
                <w:sz w:val="16"/>
                <w:szCs w:val="16"/>
              </w:rPr>
              <w:t>o</w:t>
            </w: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motor skills.  </w:t>
            </w:r>
          </w:p>
          <w:p w:rsidRPr="002777A0" w:rsidR="00E6223A" w:rsidP="3B42962E" w:rsidRDefault="00E6223A" w14:paraId="1D6BBA1E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Working independently, Self- efficacy  </w:t>
            </w:r>
          </w:p>
          <w:p w:rsidRPr="002777A0" w:rsidR="00E6223A" w:rsidP="3B42962E" w:rsidRDefault="00E6223A" w14:paraId="56C551A1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Appropriate responses to instructions.</w:t>
            </w:r>
          </w:p>
          <w:p w:rsidRPr="002777A0" w:rsidR="00E6223A" w:rsidP="3B42962E" w:rsidRDefault="00E6223A" w14:paraId="19237DAD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Following Health and Safety rules  </w:t>
            </w:r>
          </w:p>
          <w:p w:rsidRPr="002777A0" w:rsidR="00E6223A" w:rsidP="3B42962E" w:rsidRDefault="00E6223A" w14:paraId="76CDB71E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Working to a deadline.</w:t>
            </w:r>
          </w:p>
        </w:tc>
        <w:tc>
          <w:tcPr>
            <w:tcW w:w="4641" w:type="dxa"/>
            <w:gridSpan w:val="3"/>
            <w:shd w:val="clear" w:color="auto" w:fill="BDD6EE" w:themeFill="accent1" w:themeFillTint="66"/>
            <w:tcMar/>
          </w:tcPr>
          <w:p w:rsidRPr="002777A0" w:rsidR="00E6223A" w:rsidP="3B42962E" w:rsidRDefault="00E6223A" w14:paraId="7F3202D7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 </w:t>
            </w:r>
          </w:p>
          <w:p w:rsidRPr="002777A0" w:rsidR="00E6223A" w:rsidP="3B42962E" w:rsidRDefault="00E6223A" w14:paraId="1A77D529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Listening, creativity.</w:t>
            </w:r>
          </w:p>
          <w:p w:rsidRPr="002777A0" w:rsidR="00E6223A" w:rsidP="3B42962E" w:rsidRDefault="00E6223A" w14:paraId="6621239A" w14:textId="5BA03138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Developing psych</w:t>
            </w:r>
            <w:r w:rsidRPr="3B42962E" w:rsidR="65A33600">
              <w:rPr>
                <w:rFonts w:ascii="Corbel" w:hAnsi="Corbel" w:eastAsia="Corbel" w:cs="Corbel"/>
                <w:sz w:val="16"/>
                <w:szCs w:val="16"/>
              </w:rPr>
              <w:t>o</w:t>
            </w: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motor skills.  </w:t>
            </w:r>
          </w:p>
          <w:p w:rsidRPr="002777A0" w:rsidR="00E6223A" w:rsidP="3B42962E" w:rsidRDefault="00E6223A" w14:paraId="13E764B3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Working independently, Self- efficacy  </w:t>
            </w:r>
          </w:p>
          <w:p w:rsidRPr="002777A0" w:rsidR="00E6223A" w:rsidP="3B42962E" w:rsidRDefault="00E6223A" w14:paraId="26FE87C0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Appropriate responses to instructions.</w:t>
            </w:r>
          </w:p>
          <w:p w:rsidRPr="002777A0" w:rsidR="00E6223A" w:rsidP="3B42962E" w:rsidRDefault="00E6223A" w14:paraId="40A07528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Following Health and Safety rules  </w:t>
            </w:r>
          </w:p>
          <w:p w:rsidRPr="002777A0" w:rsidR="00E6223A" w:rsidP="3B42962E" w:rsidRDefault="00E6223A" w14:paraId="54291AA5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Working to a deadline.</w:t>
            </w:r>
          </w:p>
        </w:tc>
        <w:tc>
          <w:tcPr>
            <w:tcW w:w="4592" w:type="dxa"/>
            <w:shd w:val="clear" w:color="auto" w:fill="BDD6EE" w:themeFill="accent1" w:themeFillTint="66"/>
            <w:tcMar/>
          </w:tcPr>
          <w:p w:rsidRPr="002777A0" w:rsidR="00E6223A" w:rsidP="3B42962E" w:rsidRDefault="00E6223A" w14:paraId="5D59AA67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 </w:t>
            </w:r>
          </w:p>
          <w:p w:rsidRPr="002777A0" w:rsidR="00E6223A" w:rsidP="3B42962E" w:rsidRDefault="00E6223A" w14:paraId="50F5A9D4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Listening, creativity.</w:t>
            </w:r>
          </w:p>
          <w:p w:rsidRPr="002777A0" w:rsidR="00E6223A" w:rsidP="3B42962E" w:rsidRDefault="00E6223A" w14:paraId="56F3A82E" w14:textId="040100A5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Developing psych</w:t>
            </w:r>
            <w:r w:rsidRPr="3B42962E" w:rsidR="0401FF3A">
              <w:rPr>
                <w:rFonts w:ascii="Corbel" w:hAnsi="Corbel" w:eastAsia="Corbel" w:cs="Corbel"/>
                <w:sz w:val="16"/>
                <w:szCs w:val="16"/>
              </w:rPr>
              <w:t>o</w:t>
            </w: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motor skills.  </w:t>
            </w:r>
          </w:p>
          <w:p w:rsidRPr="002777A0" w:rsidR="00E6223A" w:rsidP="3B42962E" w:rsidRDefault="00E6223A" w14:paraId="07AB4499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Working independently, Self- efficacy  </w:t>
            </w:r>
          </w:p>
          <w:p w:rsidRPr="002777A0" w:rsidR="00E6223A" w:rsidP="3B42962E" w:rsidRDefault="00E6223A" w14:paraId="53AAC505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Appropriate responses to instructions.</w:t>
            </w:r>
          </w:p>
          <w:p w:rsidRPr="002777A0" w:rsidR="00E6223A" w:rsidP="3B42962E" w:rsidRDefault="00E6223A" w14:paraId="7A4D4081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Following Health and Safety rules  </w:t>
            </w:r>
          </w:p>
          <w:p w:rsidRPr="002777A0" w:rsidR="00E6223A" w:rsidP="3B42962E" w:rsidRDefault="00E6223A" w14:paraId="257C8DF2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Working to a deadline.</w:t>
            </w:r>
          </w:p>
        </w:tc>
      </w:tr>
      <w:tr w:rsidRPr="002777A0" w:rsidR="00E6223A" w:rsidTr="361F9002" w14:paraId="4B5EF962" w14:textId="77777777">
        <w:tc>
          <w:tcPr>
            <w:tcW w:w="1506" w:type="dxa"/>
            <w:shd w:val="clear" w:color="auto" w:fill="BDD6EE" w:themeFill="accent1" w:themeFillTint="66"/>
            <w:tcMar/>
          </w:tcPr>
          <w:p w:rsidRPr="002777A0" w:rsidR="00E6223A" w:rsidP="3B42962E" w:rsidRDefault="00E6223A" w14:paraId="09461F62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British Values </w:t>
            </w:r>
          </w:p>
          <w:p w:rsidRPr="002777A0" w:rsidR="00E6223A" w:rsidP="3B42962E" w:rsidRDefault="00E6223A" w14:paraId="53128261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Pr="002777A0" w:rsidR="00E6223A" w:rsidP="3B42962E" w:rsidRDefault="00E6223A" w14:paraId="62486C05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4539" w:type="dxa"/>
            <w:shd w:val="clear" w:color="auto" w:fill="BDD6EE" w:themeFill="accent1" w:themeFillTint="66"/>
            <w:tcMar/>
          </w:tcPr>
          <w:p w:rsidRPr="00E040B3" w:rsidR="00E6223A" w:rsidP="3B42962E" w:rsidRDefault="00E6223A" w14:paraId="2705B6EE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Respect the opinion of others </w:t>
            </w:r>
          </w:p>
          <w:p w:rsidRPr="004B717E" w:rsidR="00E6223A" w:rsidP="3B42962E" w:rsidRDefault="00E6223A" w14:paraId="57EA6E4C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 xml:space="preserve">Collaboration. </w:t>
            </w:r>
          </w:p>
          <w:p w:rsidRPr="004B717E" w:rsidR="00E6223A" w:rsidP="3B42962E" w:rsidRDefault="00E6223A" w14:paraId="1D287ECD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Support each other with constructive feedback </w:t>
            </w:r>
          </w:p>
          <w:p w:rsidRPr="00E040B3" w:rsidR="00E6223A" w:rsidP="3B42962E" w:rsidRDefault="00E6223A" w14:paraId="4101652C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shd w:val="clear" w:color="auto" w:fill="BDD6EE" w:themeFill="accent1" w:themeFillTint="66"/>
            <w:tcMar/>
          </w:tcPr>
          <w:p w:rsidRPr="00E040B3" w:rsidR="00E6223A" w:rsidP="3B42962E" w:rsidRDefault="00E6223A" w14:paraId="701E8DAD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Respect the opinion of others </w:t>
            </w:r>
          </w:p>
          <w:p w:rsidRPr="004B717E" w:rsidR="00E6223A" w:rsidP="3B42962E" w:rsidRDefault="00E6223A" w14:paraId="676F642A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 xml:space="preserve">Collaboration. </w:t>
            </w:r>
          </w:p>
          <w:p w:rsidRPr="004B717E" w:rsidR="00E6223A" w:rsidP="3B42962E" w:rsidRDefault="00E6223A" w14:paraId="3488B4B8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Support each other with constructive feedback </w:t>
            </w:r>
          </w:p>
          <w:p w:rsidRPr="00E040B3" w:rsidR="00E6223A" w:rsidP="3B42962E" w:rsidRDefault="00E6223A" w14:paraId="4B99056E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BDD6EE" w:themeFill="accent1" w:themeFillTint="66"/>
            <w:tcMar/>
          </w:tcPr>
          <w:p w:rsidRPr="00E040B3" w:rsidR="00E6223A" w:rsidP="3B42962E" w:rsidRDefault="00E6223A" w14:paraId="3DC5451C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Respect the opinion of others </w:t>
            </w:r>
          </w:p>
          <w:p w:rsidRPr="004B717E" w:rsidR="00E6223A" w:rsidP="3B42962E" w:rsidRDefault="00E6223A" w14:paraId="0C672FA9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 xml:space="preserve">Collaboration. </w:t>
            </w:r>
          </w:p>
          <w:p w:rsidRPr="004B717E" w:rsidR="00E6223A" w:rsidP="3B42962E" w:rsidRDefault="00E6223A" w14:paraId="1D98569F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>Support each other with constructive feedback </w:t>
            </w:r>
          </w:p>
          <w:p w:rsidRPr="00E040B3" w:rsidR="00E6223A" w:rsidP="3B42962E" w:rsidRDefault="00E6223A" w14:paraId="1299C43A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w:rsidRPr="002777A0" w:rsidR="00E6223A" w:rsidTr="361F9002" w14:paraId="67BD6068" w14:textId="77777777">
        <w:tc>
          <w:tcPr>
            <w:tcW w:w="1506" w:type="dxa"/>
            <w:tcMar/>
          </w:tcPr>
          <w:p w:rsidRPr="002777A0" w:rsidR="00E6223A" w:rsidP="3B42962E" w:rsidRDefault="00E6223A" w14:paraId="7D05050F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 Numeracy</w:t>
            </w:r>
          </w:p>
        </w:tc>
        <w:tc>
          <w:tcPr>
            <w:tcW w:w="5534" w:type="dxa"/>
            <w:gridSpan w:val="2"/>
            <w:tcMar/>
          </w:tcPr>
          <w:p w:rsidRPr="002777A0" w:rsidR="00E6223A" w:rsidP="3B42962E" w:rsidRDefault="00E6223A" w14:paraId="4A360C28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 xml:space="preserve">Shape, space, form. </w:t>
            </w:r>
          </w:p>
        </w:tc>
        <w:tc>
          <w:tcPr>
            <w:tcW w:w="1401" w:type="dxa"/>
            <w:tcMar/>
          </w:tcPr>
          <w:p w:rsidRPr="002777A0" w:rsidR="00E6223A" w:rsidP="3B42962E" w:rsidRDefault="00E6223A" w14:paraId="58B9FA96" w14:textId="77777777" w14:noSpellErr="1">
            <w:pPr>
              <w:jc w:val="both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Link- Literacy</w:t>
            </w:r>
          </w:p>
        </w:tc>
        <w:tc>
          <w:tcPr>
            <w:tcW w:w="6837" w:type="dxa"/>
            <w:gridSpan w:val="2"/>
            <w:tcMar/>
          </w:tcPr>
          <w:p w:rsidRPr="002777A0" w:rsidR="00E6223A" w:rsidP="3B42962E" w:rsidRDefault="00E6223A" w14:paraId="3471B00E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3B42962E" w:rsidR="00E6223A">
              <w:rPr>
                <w:rFonts w:ascii="Corbel" w:hAnsi="Corbel" w:eastAsia="Corbel" w:cs="Corbel"/>
                <w:sz w:val="16"/>
                <w:szCs w:val="16"/>
              </w:rPr>
              <w:t xml:space="preserve">Key vocabulary and sentence structure in research and analysis. </w:t>
            </w:r>
          </w:p>
          <w:p w:rsidRPr="002777A0" w:rsidR="00E6223A" w:rsidP="3B42962E" w:rsidRDefault="00E6223A" w14:paraId="4DDBEF00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Pr="002777A0" w:rsidR="00E6223A" w:rsidP="3B42962E" w:rsidRDefault="00E6223A" w14:paraId="3461D779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Pr="002777A0" w:rsidR="00E6223A" w:rsidP="3B42962E" w:rsidRDefault="00E6223A" w14:paraId="3CF2D8B6" w14:textId="77777777" w14:noSpellErr="1">
            <w:pPr>
              <w:tabs>
                <w:tab w:val="left" w:pos="1740"/>
              </w:tabs>
              <w:rPr>
                <w:rFonts w:ascii="Corbel" w:hAnsi="Corbel" w:eastAsia="Corbel" w:cs="Corbel"/>
                <w:sz w:val="16"/>
                <w:szCs w:val="16"/>
              </w:rPr>
            </w:pPr>
            <w:r w:rsidRPr="002777A0">
              <w:rPr>
                <w:rFonts w:eastAsia="Corbel" w:asciiTheme="majorHAnsi" w:hAnsiTheme="majorHAnsi" w:cstheme="majorHAnsi"/>
                <w:sz w:val="16"/>
                <w:szCs w:val="16"/>
              </w:rPr>
              <w:tab/>
            </w:r>
          </w:p>
        </w:tc>
      </w:tr>
      <w:tr w:rsidRPr="002777A0" w:rsidR="00E6223A" w:rsidTr="361F9002" w14:paraId="7B4C14D5" w14:textId="77777777">
        <w:tc>
          <w:tcPr>
            <w:tcW w:w="15278" w:type="dxa"/>
            <w:gridSpan w:val="6"/>
            <w:tcMar/>
          </w:tcPr>
          <w:p w:rsidRPr="002777A0" w:rsidR="00E6223A" w:rsidP="3B42962E" w:rsidRDefault="00E6223A" w14:paraId="0FB78278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Pr="002777A0" w:rsidR="00E6223A" w:rsidTr="3B42962E" w14:paraId="0E911C20" w14:textId="77777777">
              <w:tc>
                <w:tcPr>
                  <w:tcW w:w="15032" w:type="dxa"/>
                  <w:tcMar/>
                </w:tcPr>
                <w:p w:rsidRPr="002777A0" w:rsidR="00E6223A" w:rsidP="3B42962E" w:rsidRDefault="00E6223A" w14:paraId="5320EC27" w14:textId="77777777" w14:noSpellErr="1">
                  <w:pPr>
                    <w:pBdr>
                      <w:top w:val="nil" w:color="000000" w:sz="0" w:space="0"/>
                      <w:left w:val="nil" w:color="000000" w:sz="0" w:space="0"/>
                      <w:bottom w:val="nil" w:color="000000" w:sz="0" w:space="0"/>
                      <w:right w:val="nil" w:color="000000" w:sz="0" w:space="0"/>
                      <w:between w:val="nil" w:color="000000" w:sz="0" w:space="0"/>
                    </w:pBdr>
                    <w:spacing w:after="160" w:line="259" w:lineRule="auto"/>
                    <w:ind w:left="720"/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/>
                      <w:sz w:val="16"/>
                      <w:szCs w:val="16"/>
                    </w:rPr>
                  </w:pPr>
                  <w:r w:rsidRPr="3B42962E" w:rsidR="00E6223A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The Hub Vision – A School that provides all students with exciting opportunities that build confidence, develop social </w:t>
                  </w:r>
                  <w:r w:rsidRPr="3B42962E" w:rsidR="00E6223A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>skills</w:t>
                  </w:r>
                  <w:r w:rsidRPr="3B42962E" w:rsidR="00E6223A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 and promote academic achievement</w:t>
                  </w:r>
                </w:p>
              </w:tc>
            </w:tr>
          </w:tbl>
          <w:p w:rsidRPr="002777A0" w:rsidR="00E6223A" w:rsidP="3B42962E" w:rsidRDefault="00E6223A" w14:paraId="1FC39945" w14:textId="77777777" w14:noSpellErr="1">
            <w:pPr>
              <w:rPr>
                <w:rFonts w:ascii="Corbel" w:hAnsi="Corbel" w:eastAsia="Corbel" w:cs="Corbel"/>
                <w:b w:val="1"/>
                <w:bCs w:val="1"/>
                <w:i w:val="1"/>
                <w:iCs w:val="1"/>
                <w:sz w:val="16"/>
                <w:szCs w:val="16"/>
              </w:rPr>
            </w:pPr>
          </w:p>
        </w:tc>
      </w:tr>
    </w:tbl>
    <w:p w:rsidRPr="002777A0" w:rsidR="009C1CE0" w:rsidRDefault="009C1CE0" w14:paraId="0562CB0E" w14:textId="77777777">
      <w:pPr>
        <w:rPr>
          <w:rFonts w:asciiTheme="majorHAnsi" w:hAnsiTheme="majorHAnsi" w:cstheme="majorHAnsi"/>
          <w:sz w:val="12"/>
          <w:szCs w:val="12"/>
        </w:rPr>
      </w:pPr>
    </w:p>
    <w:sectPr w:rsidRPr="002777A0" w:rsidR="009C1CE0">
      <w:headerReference w:type="default" r:id="rId11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644" w:rsidP="007E2644" w:rsidRDefault="007E2644" w14:paraId="34CE0A41" w14:textId="77777777">
      <w:pPr>
        <w:spacing w:after="0" w:line="240" w:lineRule="auto"/>
      </w:pPr>
      <w:r>
        <w:separator/>
      </w:r>
    </w:p>
  </w:endnote>
  <w:endnote w:type="continuationSeparator" w:id="0">
    <w:p w:rsidR="007E2644" w:rsidP="007E2644" w:rsidRDefault="007E2644" w14:paraId="62EBF3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644" w:rsidP="007E2644" w:rsidRDefault="007E2644" w14:paraId="6D98A12B" w14:textId="77777777">
      <w:pPr>
        <w:spacing w:after="0" w:line="240" w:lineRule="auto"/>
      </w:pPr>
      <w:r>
        <w:separator/>
      </w:r>
    </w:p>
  </w:footnote>
  <w:footnote w:type="continuationSeparator" w:id="0">
    <w:p w:rsidR="007E2644" w:rsidP="007E2644" w:rsidRDefault="007E2644" w14:paraId="2946DB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A2102F" w:rsidR="007E2644" w:rsidP="007E2644" w:rsidRDefault="007E2644" w14:paraId="586ACCD4" w14:textId="77777777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                                    </w:t>
    </w:r>
    <w:r w:rsidRPr="00F40C9F" w:rsidR="00F40C9F">
      <w:rPr>
        <w:b/>
        <w:sz w:val="28"/>
        <w:szCs w:val="28"/>
      </w:rPr>
      <w:t>Subject:</w:t>
    </w:r>
    <w:r w:rsidR="00A2102F">
      <w:t xml:space="preserve">      </w:t>
    </w:r>
    <w:r w:rsidR="005302D6">
      <w:t>3D Design</w:t>
    </w:r>
    <w:r w:rsidR="00A2102F">
      <w:t xml:space="preserve">       </w:t>
    </w:r>
    <w:r w:rsidRPr="00F40C9F" w:rsidR="00A2102F">
      <w:rPr>
        <w:b/>
        <w:sz w:val="28"/>
        <w:szCs w:val="28"/>
      </w:rPr>
      <w:t xml:space="preserve">                            </w:t>
    </w:r>
    <w:r w:rsidRPr="00F40C9F" w:rsidR="00A2102F">
      <w:rPr>
        <w:b/>
        <w:sz w:val="28"/>
        <w:szCs w:val="28"/>
        <w:u w:val="single"/>
      </w:rPr>
      <w:t>Curriculum- Long Term Plan</w:t>
    </w:r>
    <w:r w:rsidR="00F40C9F">
      <w:rPr>
        <w:b/>
        <w:sz w:val="28"/>
        <w:szCs w:val="28"/>
      </w:rPr>
      <w:t xml:space="preserve">                      </w:t>
    </w:r>
    <w:r w:rsidRPr="00A2102F">
      <w:rPr>
        <w:b/>
        <w:sz w:val="28"/>
        <w:szCs w:val="28"/>
      </w:rPr>
      <w:t xml:space="preserve">Year Group: </w:t>
    </w:r>
    <w:r w:rsidR="005302D6">
      <w:rPr>
        <w:b/>
        <w:sz w:val="28"/>
        <w:szCs w:val="2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953E3"/>
    <w:multiLevelType w:val="hybridMultilevel"/>
    <w:tmpl w:val="0B3A21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272634"/>
    <w:multiLevelType w:val="hybridMultilevel"/>
    <w:tmpl w:val="8F3A39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08003E"/>
    <w:multiLevelType w:val="hybridMultilevel"/>
    <w:tmpl w:val="167869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807D49"/>
    <w:multiLevelType w:val="hybridMultilevel"/>
    <w:tmpl w:val="37F88F1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7594799C"/>
    <w:multiLevelType w:val="multilevel"/>
    <w:tmpl w:val="5F3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161BE2"/>
    <w:rsid w:val="002677F7"/>
    <w:rsid w:val="002777A0"/>
    <w:rsid w:val="00341165"/>
    <w:rsid w:val="004355E5"/>
    <w:rsid w:val="004845FE"/>
    <w:rsid w:val="005302D6"/>
    <w:rsid w:val="00556F11"/>
    <w:rsid w:val="005757FE"/>
    <w:rsid w:val="005E6FF3"/>
    <w:rsid w:val="007113EC"/>
    <w:rsid w:val="007E2644"/>
    <w:rsid w:val="009C1CE0"/>
    <w:rsid w:val="00A2102F"/>
    <w:rsid w:val="00B66D26"/>
    <w:rsid w:val="00B97D44"/>
    <w:rsid w:val="00BA5255"/>
    <w:rsid w:val="00C03F0B"/>
    <w:rsid w:val="00CB6DA3"/>
    <w:rsid w:val="00CC7E80"/>
    <w:rsid w:val="00DA6173"/>
    <w:rsid w:val="00E15E9A"/>
    <w:rsid w:val="00E6223A"/>
    <w:rsid w:val="00F376CC"/>
    <w:rsid w:val="00F40C9F"/>
    <w:rsid w:val="02787937"/>
    <w:rsid w:val="0401FF3A"/>
    <w:rsid w:val="0519AE17"/>
    <w:rsid w:val="08F209A2"/>
    <w:rsid w:val="1B36F66F"/>
    <w:rsid w:val="1DC85EEF"/>
    <w:rsid w:val="1E96C237"/>
    <w:rsid w:val="1FBC7595"/>
    <w:rsid w:val="215F70A9"/>
    <w:rsid w:val="2407A808"/>
    <w:rsid w:val="258F5406"/>
    <w:rsid w:val="309C18FC"/>
    <w:rsid w:val="3160F6F3"/>
    <w:rsid w:val="361F9002"/>
    <w:rsid w:val="36E769C3"/>
    <w:rsid w:val="39A8794F"/>
    <w:rsid w:val="3A72354A"/>
    <w:rsid w:val="3B42962E"/>
    <w:rsid w:val="4196867C"/>
    <w:rsid w:val="52C230B9"/>
    <w:rsid w:val="52D61BF7"/>
    <w:rsid w:val="5735CF08"/>
    <w:rsid w:val="5AEE4828"/>
    <w:rsid w:val="60C2C414"/>
    <w:rsid w:val="65A33600"/>
    <w:rsid w:val="6C1D5FA3"/>
    <w:rsid w:val="733E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35D814F"/>
  <w15:docId w15:val="{9DC9BAB9-E3D0-4068-828F-56C95EE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644"/>
  </w:style>
  <w:style w:type="character" w:styleId="normaltextrun" w:customStyle="1">
    <w:name w:val="normaltextrun"/>
    <w:basedOn w:val="DefaultParagraphFont"/>
    <w:rsid w:val="00BA5255"/>
  </w:style>
  <w:style w:type="character" w:styleId="eop" w:customStyle="1">
    <w:name w:val="eop"/>
    <w:basedOn w:val="DefaultParagraphFont"/>
    <w:rsid w:val="00BA5255"/>
  </w:style>
  <w:style w:type="paragraph" w:styleId="paragraph" w:customStyle="1">
    <w:name w:val="paragraph"/>
    <w:basedOn w:val="Normal"/>
    <w:rsid w:val="00BA52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Props1.xml><?xml version="1.0" encoding="utf-8"?>
<ds:datastoreItem xmlns:ds="http://schemas.openxmlformats.org/officeDocument/2006/customXml" ds:itemID="{1ADD5376-CE4A-4F04-AFFA-EC1F18EA22D4}"/>
</file>

<file path=customXml/itemProps2.xml><?xml version="1.0" encoding="utf-8"?>
<ds:datastoreItem xmlns:ds="http://schemas.openxmlformats.org/officeDocument/2006/customXml" ds:itemID="{2207C775-5259-4ADC-B1BB-24E69855CB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9E41A8-D51F-4D5D-9463-5E64A7C9B3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Hub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Charlotte Sykes (HUB)</cp:lastModifiedBy>
  <cp:revision>16</cp:revision>
  <cp:lastPrinted>2024-02-19T12:23:00Z</cp:lastPrinted>
  <dcterms:created xsi:type="dcterms:W3CDTF">2024-04-08T09:54:00Z</dcterms:created>
  <dcterms:modified xsi:type="dcterms:W3CDTF">2025-09-18T14:14:27Z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  <property fmtid="{D5CDD505-2E9C-101B-9397-08002B2CF9AE}" pid="3" name="MediaServiceImageTags">
    <vt:lpwstr/>
  </property>
</Properties>
</file>