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A6D3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 w14:paraId="39FD38C8" w14:textId="77777777">
        <w:tc>
          <w:tcPr>
            <w:tcW w:w="15278" w:type="dxa"/>
            <w:gridSpan w:val="6"/>
          </w:tcPr>
          <w:p w14:paraId="7925CB82" w14:textId="77777777"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 w14:paraId="64EB40F9" w14:textId="77777777">
        <w:trPr>
          <w:trHeight w:val="417"/>
        </w:trPr>
        <w:tc>
          <w:tcPr>
            <w:tcW w:w="1506" w:type="dxa"/>
          </w:tcPr>
          <w:p w14:paraId="4278228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5D26985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14:paraId="4426D52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14:paraId="20CD129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</w:p>
          <w:p w14:paraId="764EEC44" w14:textId="77777777"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14:paraId="4CCADC7F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14:paraId="1D79CE47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B66D26" w14:paraId="60B1E9E0" w14:textId="77777777" w:rsidTr="00D81F2F">
        <w:trPr>
          <w:trHeight w:val="1046"/>
        </w:trPr>
        <w:tc>
          <w:tcPr>
            <w:tcW w:w="1506" w:type="dxa"/>
            <w:shd w:val="clear" w:color="auto" w:fill="C5E0B3" w:themeFill="accent6" w:themeFillTint="66"/>
          </w:tcPr>
          <w:p w14:paraId="30287FBA" w14:textId="77777777"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14:paraId="35E84914" w14:textId="120F8240" w:rsidR="000C3DB2" w:rsidRDefault="00627A4F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31C2A">
              <w:rPr>
                <w:rFonts w:ascii="Corbel" w:eastAsia="Corbel" w:hAnsi="Corbel" w:cs="Corbel"/>
                <w:sz w:val="16"/>
                <w:szCs w:val="16"/>
              </w:rPr>
              <w:t xml:space="preserve">s have previously considered </w:t>
            </w:r>
            <w:r w:rsidR="005E5585">
              <w:rPr>
                <w:rFonts w:ascii="Corbel" w:eastAsia="Corbel" w:hAnsi="Corbel" w:cs="Corbel"/>
                <w:sz w:val="16"/>
                <w:szCs w:val="16"/>
              </w:rPr>
              <w:t>their long-term goals throughout the Project 5 curriculum</w:t>
            </w:r>
            <w:r w:rsidR="006A36D8">
              <w:rPr>
                <w:rFonts w:ascii="Corbel" w:eastAsia="Corbel" w:hAnsi="Corbel" w:cs="Corbel"/>
                <w:sz w:val="16"/>
                <w:szCs w:val="16"/>
              </w:rPr>
              <w:t>. They have also started to map out and research their dream jobs in the year 10 PSHE Future Me topic.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14:paraId="3E9C2723" w14:textId="628F6C48" w:rsidR="008C2454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E51A5">
              <w:rPr>
                <w:rFonts w:ascii="Corbel" w:eastAsia="Corbel" w:hAnsi="Corbel" w:cs="Corbel"/>
                <w:sz w:val="16"/>
                <w:szCs w:val="16"/>
              </w:rPr>
              <w:t>s have previously covered the Community Risks and Online Safety topic in Project 5.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14:paraId="2E0DC100" w14:textId="4FCE7A3D" w:rsidR="00930BC2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E51A5">
              <w:rPr>
                <w:rFonts w:ascii="Corbel" w:eastAsia="Corbel" w:hAnsi="Corbel" w:cs="Corbel"/>
                <w:sz w:val="16"/>
                <w:szCs w:val="16"/>
              </w:rPr>
              <w:t xml:space="preserve">s have discussed current affairs throughout the PSHE curriculum. </w:t>
            </w:r>
            <w:r w:rsidR="00F91ADA">
              <w:rPr>
                <w:rFonts w:ascii="Corbel" w:eastAsia="Corbel" w:hAnsi="Corbel" w:cs="Corbel"/>
                <w:sz w:val="16"/>
                <w:szCs w:val="16"/>
              </w:rPr>
              <w:t>They have also covered the World Views topic in Project 5.</w:t>
            </w:r>
          </w:p>
        </w:tc>
      </w:tr>
      <w:tr w:rsidR="009C1CE0" w14:paraId="4B61822D" w14:textId="77777777" w:rsidTr="00F376CC">
        <w:trPr>
          <w:trHeight w:val="1536"/>
        </w:trPr>
        <w:tc>
          <w:tcPr>
            <w:tcW w:w="1506" w:type="dxa"/>
          </w:tcPr>
          <w:p w14:paraId="24661E27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  <w:p w14:paraId="7C9F8798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14:paraId="0F21D2B9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4C30E60" w14:textId="77777777" w:rsidR="000B6C29" w:rsidRDefault="00B57237" w:rsidP="004845FE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>
              <w:rPr>
                <w:rFonts w:ascii="Corbel" w:eastAsia="Corbel" w:hAnsi="Corbel" w:cs="Corbel"/>
                <w:sz w:val="16"/>
                <w:szCs w:val="16"/>
                <w:u w:val="single"/>
              </w:rPr>
              <w:t>Finances and Goals</w:t>
            </w:r>
          </w:p>
          <w:p w14:paraId="39C98899" w14:textId="1D7C17BB" w:rsidR="00423073" w:rsidRDefault="00627A4F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23073" w:rsidRPr="0027444A">
              <w:rPr>
                <w:rFonts w:ascii="Corbel" w:eastAsia="Corbel" w:hAnsi="Corbel" w:cs="Corbel"/>
                <w:sz w:val="16"/>
                <w:szCs w:val="16"/>
              </w:rPr>
              <w:t xml:space="preserve">s will learn how to find and apply for jobs, and will practice workplace expectations through practical lessons.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423073" w:rsidRPr="0027444A">
              <w:rPr>
                <w:rFonts w:ascii="Corbel" w:eastAsia="Corbel" w:hAnsi="Corbel" w:cs="Corbel"/>
                <w:sz w:val="16"/>
                <w:szCs w:val="16"/>
              </w:rPr>
              <w:t>s will discover how pay, budgeting</w:t>
            </w:r>
            <w:r w:rsidR="0027444A" w:rsidRPr="0027444A">
              <w:rPr>
                <w:rFonts w:ascii="Corbel" w:eastAsia="Corbel" w:hAnsi="Corbel" w:cs="Corbel"/>
                <w:sz w:val="16"/>
                <w:szCs w:val="16"/>
              </w:rPr>
              <w:t xml:space="preserve"> and </w:t>
            </w:r>
            <w:r w:rsidR="00423073" w:rsidRPr="0027444A">
              <w:rPr>
                <w:rFonts w:ascii="Corbel" w:eastAsia="Corbel" w:hAnsi="Corbel" w:cs="Corbel"/>
                <w:sz w:val="16"/>
                <w:szCs w:val="16"/>
              </w:rPr>
              <w:t xml:space="preserve">mortgages/rent </w:t>
            </w:r>
            <w:r w:rsidR="0027444A" w:rsidRPr="0027444A">
              <w:rPr>
                <w:rFonts w:ascii="Corbel" w:eastAsia="Corbel" w:hAnsi="Corbel" w:cs="Corbel"/>
                <w:sz w:val="16"/>
                <w:szCs w:val="16"/>
              </w:rPr>
              <w:t xml:space="preserve">work, and will </w:t>
            </w:r>
            <w:r w:rsidR="00AE53A3">
              <w:rPr>
                <w:rFonts w:ascii="Corbel" w:eastAsia="Corbel" w:hAnsi="Corbel" w:cs="Corbel"/>
                <w:sz w:val="16"/>
                <w:szCs w:val="16"/>
              </w:rPr>
              <w:t>practice planning for food shopping and furnishing a home.</w:t>
            </w:r>
          </w:p>
          <w:p w14:paraId="30F9381D" w14:textId="7464682C" w:rsidR="00AE53A3" w:rsidRPr="0027444A" w:rsidRDefault="00627A4F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AE53A3">
              <w:rPr>
                <w:rFonts w:ascii="Corbel" w:eastAsia="Corbel" w:hAnsi="Corbel" w:cs="Corbel"/>
                <w:sz w:val="16"/>
                <w:szCs w:val="16"/>
              </w:rPr>
              <w:t>s will research their post-16 options, and complete their applications.</w:t>
            </w:r>
          </w:p>
        </w:tc>
        <w:tc>
          <w:tcPr>
            <w:tcW w:w="4641" w:type="dxa"/>
            <w:gridSpan w:val="3"/>
          </w:tcPr>
          <w:p w14:paraId="12377E81" w14:textId="77777777" w:rsidR="000B6C29" w:rsidRDefault="00C42F52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>
              <w:rPr>
                <w:rFonts w:ascii="Corbel" w:eastAsia="Corbel" w:hAnsi="Corbel" w:cs="Corbel"/>
                <w:sz w:val="16"/>
                <w:szCs w:val="16"/>
                <w:u w:val="single"/>
              </w:rPr>
              <w:t>Safety and Risk</w:t>
            </w:r>
          </w:p>
          <w:p w14:paraId="5C64F769" w14:textId="3E4B8820" w:rsidR="00AE53A3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F7684">
              <w:rPr>
                <w:rFonts w:ascii="Corbel" w:eastAsia="Corbel" w:hAnsi="Corbel" w:cs="Corbel"/>
                <w:sz w:val="16"/>
                <w:szCs w:val="16"/>
              </w:rPr>
              <w:t>s will discuss the risks associated with lifestyle factors such as gambling, smoking and vaping, alcohol consumption</w:t>
            </w:r>
            <w:r w:rsidR="00F5548A">
              <w:rPr>
                <w:rFonts w:ascii="Corbel" w:eastAsia="Corbel" w:hAnsi="Corbel" w:cs="Corbel"/>
                <w:sz w:val="16"/>
                <w:szCs w:val="16"/>
              </w:rPr>
              <w:t xml:space="preserve"> and </w:t>
            </w:r>
            <w:r w:rsidR="0024463E">
              <w:rPr>
                <w:rFonts w:ascii="Corbel" w:eastAsia="Corbel" w:hAnsi="Corbel" w:cs="Corbel"/>
                <w:sz w:val="16"/>
                <w:szCs w:val="16"/>
              </w:rPr>
              <w:t>drug abuse</w:t>
            </w:r>
            <w:r w:rsidR="00F5548A">
              <w:rPr>
                <w:rFonts w:ascii="Corbel" w:eastAsia="Corbel" w:hAnsi="Corbel" w:cs="Corbel"/>
                <w:sz w:val="16"/>
                <w:szCs w:val="16"/>
              </w:rPr>
              <w:t xml:space="preserve">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5548A">
              <w:rPr>
                <w:rFonts w:ascii="Corbel" w:eastAsia="Corbel" w:hAnsi="Corbel" w:cs="Corbel"/>
                <w:sz w:val="16"/>
                <w:szCs w:val="16"/>
              </w:rPr>
              <w:t xml:space="preserve">s will learn about online safety, </w:t>
            </w:r>
            <w:r w:rsidR="00266EAB">
              <w:rPr>
                <w:rFonts w:ascii="Corbel" w:eastAsia="Corbel" w:hAnsi="Corbel" w:cs="Corbel"/>
                <w:sz w:val="16"/>
                <w:szCs w:val="16"/>
              </w:rPr>
              <w:t xml:space="preserve">the impact of social media on mental health, </w:t>
            </w:r>
            <w:r w:rsidR="00665183">
              <w:rPr>
                <w:rFonts w:ascii="Corbel" w:eastAsia="Corbel" w:hAnsi="Corbel" w:cs="Corbel"/>
                <w:sz w:val="16"/>
                <w:szCs w:val="16"/>
              </w:rPr>
              <w:t>as well as exploitation and extremism.</w:t>
            </w:r>
          </w:p>
          <w:p w14:paraId="1167C451" w14:textId="77777777" w:rsidR="0078718D" w:rsidRDefault="0078718D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E962366" w14:textId="35566D69" w:rsidR="0078718D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78718D">
              <w:rPr>
                <w:rFonts w:ascii="Corbel" w:eastAsia="Corbel" w:hAnsi="Corbel" w:cs="Corbel"/>
                <w:sz w:val="16"/>
                <w:szCs w:val="16"/>
              </w:rPr>
              <w:t>s will also complete basic first aid and CPR.</w:t>
            </w:r>
          </w:p>
        </w:tc>
        <w:tc>
          <w:tcPr>
            <w:tcW w:w="4592" w:type="dxa"/>
          </w:tcPr>
          <w:p w14:paraId="3B2FD6BA" w14:textId="77777777" w:rsidR="00B459FB" w:rsidRDefault="00C42F52">
            <w:pPr>
              <w:rPr>
                <w:rFonts w:ascii="Corbel" w:eastAsia="Corbel" w:hAnsi="Corbel" w:cs="Corbel"/>
                <w:sz w:val="16"/>
                <w:szCs w:val="16"/>
                <w:u w:val="single"/>
              </w:rPr>
            </w:pPr>
            <w:r>
              <w:rPr>
                <w:rFonts w:ascii="Corbel" w:eastAsia="Corbel" w:hAnsi="Corbel" w:cs="Corbel"/>
                <w:sz w:val="16"/>
                <w:szCs w:val="16"/>
                <w:u w:val="single"/>
              </w:rPr>
              <w:t>Is our world fair?</w:t>
            </w:r>
          </w:p>
          <w:p w14:paraId="48219518" w14:textId="32E523CB" w:rsidR="0078718D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905E1">
              <w:rPr>
                <w:rFonts w:ascii="Corbel" w:eastAsia="Corbel" w:hAnsi="Corbel" w:cs="Corbel"/>
                <w:sz w:val="16"/>
                <w:szCs w:val="16"/>
              </w:rPr>
              <w:t>s will discuss current affairs around the world, and will take part in debates</w:t>
            </w:r>
            <w:r w:rsidR="0092018E">
              <w:rPr>
                <w:rFonts w:ascii="Corbel" w:eastAsia="Corbel" w:hAnsi="Corbel" w:cs="Corbel"/>
                <w:sz w:val="16"/>
                <w:szCs w:val="16"/>
              </w:rPr>
              <w:t>.</w:t>
            </w:r>
          </w:p>
        </w:tc>
      </w:tr>
      <w:tr w:rsidR="00BB5FAD" w14:paraId="697A45E0" w14:textId="77777777" w:rsidTr="004C4BBC">
        <w:trPr>
          <w:trHeight w:val="1197"/>
        </w:trPr>
        <w:tc>
          <w:tcPr>
            <w:tcW w:w="1506" w:type="dxa"/>
          </w:tcPr>
          <w:p w14:paraId="76CBC49F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14:paraId="02430485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6011266D" w14:textId="77777777" w:rsidR="00BB5FAD" w:rsidRDefault="00BB5FAD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</w:tcPr>
          <w:p w14:paraId="0CFC01B7" w14:textId="77777777" w:rsidR="00235E3F" w:rsidRDefault="00235E3F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AE9DC16" w14:textId="77777777" w:rsidR="00BB5FAD" w:rsidRDefault="00BB5FAD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6554506" w14:textId="20638000" w:rsidR="003E7D59" w:rsidRDefault="00627A4F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E7D59">
              <w:rPr>
                <w:rFonts w:ascii="Corbel" w:eastAsia="Corbel" w:hAnsi="Corbel" w:cs="Corbel"/>
                <w:sz w:val="16"/>
                <w:szCs w:val="16"/>
              </w:rPr>
              <w:t>s will not complete formal assessments, but will be required to complete written work in each lesson which will be marked.</w:t>
            </w:r>
          </w:p>
          <w:p w14:paraId="3ADA72FE" w14:textId="355ADC14" w:rsidR="003E7D59" w:rsidRDefault="00627A4F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3E7D59">
              <w:rPr>
                <w:rFonts w:ascii="Corbel" w:eastAsia="Corbel" w:hAnsi="Corbel" w:cs="Corbel"/>
                <w:sz w:val="16"/>
                <w:szCs w:val="16"/>
              </w:rPr>
              <w:t>s will take part in verbal discussions</w:t>
            </w:r>
            <w:r w:rsidR="00B13720">
              <w:rPr>
                <w:rFonts w:ascii="Corbel" w:eastAsia="Corbel" w:hAnsi="Corbel" w:cs="Corbel"/>
                <w:sz w:val="16"/>
                <w:szCs w:val="16"/>
              </w:rPr>
              <w:t>.</w:t>
            </w:r>
          </w:p>
        </w:tc>
      </w:tr>
      <w:tr w:rsidR="009C1CE0" w14:paraId="65CEE1E0" w14:textId="77777777" w:rsidTr="00F376CC">
        <w:tc>
          <w:tcPr>
            <w:tcW w:w="1506" w:type="dxa"/>
            <w:shd w:val="clear" w:color="auto" w:fill="BDD6EE" w:themeFill="accent1" w:themeFillTint="66"/>
          </w:tcPr>
          <w:p w14:paraId="12D786C8" w14:textId="77777777" w:rsidR="009C1CE0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14:paraId="715A696A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348B01A4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53CACD6A" w14:textId="77777777" w:rsidR="009C1CE0" w:rsidRDefault="009C1CE0" w:rsidP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14:paraId="45644FCD" w14:textId="664174B0" w:rsidR="00E96060" w:rsidRDefault="00627A4F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E035B">
              <w:rPr>
                <w:rFonts w:ascii="Corbel" w:eastAsia="Corbel" w:hAnsi="Corbel" w:cs="Corbel"/>
                <w:sz w:val="16"/>
                <w:szCs w:val="16"/>
              </w:rPr>
              <w:t xml:space="preserve">s will spend this half term researching a range of careers </w:t>
            </w:r>
            <w:r w:rsidR="00706F3D">
              <w:rPr>
                <w:rFonts w:ascii="Corbel" w:eastAsia="Corbel" w:hAnsi="Corbel" w:cs="Corbel"/>
                <w:sz w:val="16"/>
                <w:szCs w:val="16"/>
              </w:rPr>
              <w:t>and planning their post-16 options. They will take part in visits to post-16 providers, and in workshops carried out in school.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14:paraId="4F02A4B1" w14:textId="73C2E322" w:rsidR="00065077" w:rsidRDefault="00627A4F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7F5387">
              <w:rPr>
                <w:rFonts w:ascii="Corbel" w:eastAsia="Corbel" w:hAnsi="Corbel" w:cs="Corbel"/>
                <w:sz w:val="16"/>
                <w:szCs w:val="16"/>
              </w:rPr>
              <w:t>s will learn how to be safe online and how to carefully consider what they share online and what may be seen by future employers.</w:t>
            </w:r>
          </w:p>
          <w:p w14:paraId="298A51F5" w14:textId="77777777" w:rsidR="007F5387" w:rsidRDefault="007F538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7ECC2DF" w14:textId="097DDBFB" w:rsidR="007F5387" w:rsidRDefault="007F538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First Aid and CPR may be useful in ma</w:t>
            </w:r>
            <w:r w:rsidR="00EA35B1">
              <w:rPr>
                <w:rFonts w:ascii="Corbel" w:eastAsia="Corbel" w:hAnsi="Corbel" w:cs="Corbel"/>
                <w:sz w:val="16"/>
                <w:szCs w:val="16"/>
              </w:rPr>
              <w:t>n</w:t>
            </w:r>
            <w:r>
              <w:rPr>
                <w:rFonts w:ascii="Corbel" w:eastAsia="Corbel" w:hAnsi="Corbel" w:cs="Corbel"/>
                <w:sz w:val="16"/>
                <w:szCs w:val="16"/>
              </w:rPr>
              <w:t>y roles.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14:paraId="08CE1A2D" w14:textId="7D3BD16B" w:rsidR="00065077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E93B59">
              <w:rPr>
                <w:rFonts w:ascii="Corbel" w:eastAsia="Corbel" w:hAnsi="Corbel" w:cs="Corbel"/>
                <w:sz w:val="16"/>
                <w:szCs w:val="16"/>
              </w:rPr>
              <w:t xml:space="preserve">s will be exposed to the many different cultures and views around the world and will make links with the range of jobs available here and abroad.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780181">
              <w:rPr>
                <w:rFonts w:ascii="Corbel" w:eastAsia="Corbel" w:hAnsi="Corbel" w:cs="Corbel"/>
                <w:sz w:val="16"/>
                <w:szCs w:val="16"/>
              </w:rPr>
              <w:t>s may discuss jobs in journalism.</w:t>
            </w:r>
          </w:p>
        </w:tc>
      </w:tr>
      <w:tr w:rsidR="00663A62" w14:paraId="36A633D6" w14:textId="77777777" w:rsidTr="005E1672">
        <w:tc>
          <w:tcPr>
            <w:tcW w:w="1506" w:type="dxa"/>
            <w:shd w:val="clear" w:color="auto" w:fill="BDD6EE" w:themeFill="accent1" w:themeFillTint="66"/>
          </w:tcPr>
          <w:p w14:paraId="4CBC2AB0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14:paraId="69BE7362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4A5D6173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14:paraId="3887D4F8" w14:textId="77777777" w:rsidR="00663A62" w:rsidRDefault="00663A62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F3B07C8" w14:textId="095B0522" w:rsidR="00A4444C" w:rsidRDefault="00627A4F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A4444C">
              <w:rPr>
                <w:rFonts w:ascii="Corbel" w:eastAsia="Corbel" w:hAnsi="Corbel" w:cs="Corbel"/>
                <w:sz w:val="16"/>
                <w:szCs w:val="16"/>
              </w:rPr>
              <w:t xml:space="preserve">s will cover all five of the British Values in detail throughout all topics. </w:t>
            </w:r>
          </w:p>
        </w:tc>
      </w:tr>
      <w:tr w:rsidR="009C1CE0" w14:paraId="5A81E183" w14:textId="77777777">
        <w:tc>
          <w:tcPr>
            <w:tcW w:w="1506" w:type="dxa"/>
          </w:tcPr>
          <w:p w14:paraId="211F6AB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14:paraId="4D4DBD61" w14:textId="02CCF4DA" w:rsidR="009C1CE0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E83EB5">
              <w:rPr>
                <w:rFonts w:ascii="Corbel" w:eastAsia="Corbel" w:hAnsi="Corbel" w:cs="Corbel"/>
                <w:sz w:val="16"/>
                <w:szCs w:val="16"/>
              </w:rPr>
              <w:t xml:space="preserve">s will </w:t>
            </w:r>
            <w:r w:rsidR="00780181">
              <w:rPr>
                <w:rFonts w:ascii="Corbel" w:eastAsia="Corbel" w:hAnsi="Corbel" w:cs="Corbel"/>
                <w:sz w:val="16"/>
                <w:szCs w:val="16"/>
              </w:rPr>
              <w:t>complete budgeting tasks and will research house prices.</w:t>
            </w:r>
          </w:p>
        </w:tc>
        <w:tc>
          <w:tcPr>
            <w:tcW w:w="1401" w:type="dxa"/>
          </w:tcPr>
          <w:p w14:paraId="3A671658" w14:textId="77777777" w:rsidR="009C1CE0" w:rsidRDefault="00556F11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14:paraId="3CE47894" w14:textId="43A5A92E" w:rsidR="009C1CE0" w:rsidRDefault="00627A4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C03E98">
              <w:rPr>
                <w:rFonts w:ascii="Corbel" w:eastAsia="Corbel" w:hAnsi="Corbel" w:cs="Corbel"/>
                <w:sz w:val="16"/>
                <w:szCs w:val="16"/>
              </w:rPr>
              <w:t>s will work from a diverse range of resources to encourage self-led reading, group-reading, spelling of key terms.</w:t>
            </w:r>
          </w:p>
          <w:p w14:paraId="23F2A1B4" w14:textId="77777777" w:rsidR="009C1CE0" w:rsidRDefault="009C1CE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E324B5C" w14:textId="77777777" w:rsidR="009C1CE0" w:rsidRDefault="00556F11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9C1CE0" w14:paraId="024F03F9" w14:textId="77777777">
        <w:tc>
          <w:tcPr>
            <w:tcW w:w="15278" w:type="dxa"/>
            <w:gridSpan w:val="6"/>
          </w:tcPr>
          <w:p w14:paraId="43B5374E" w14:textId="77777777" w:rsidR="009C1CE0" w:rsidRDefault="009C1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14:paraId="13B8DCE2" w14:textId="77777777">
              <w:tc>
                <w:tcPr>
                  <w:tcW w:w="15032" w:type="dxa"/>
                </w:tcPr>
                <w:p w14:paraId="1A178793" w14:textId="0E756BBD" w:rsidR="009C1CE0" w:rsidRDefault="00556F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 xml:space="preserve">The Hub Vision – A School that provides all </w:t>
                  </w:r>
                  <w:r w:rsidR="0054129D"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pupil</w:t>
                  </w: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s with exciting opportunities that build confidence, develop social skills and promote academic achievement</w:t>
                  </w:r>
                </w:p>
              </w:tc>
            </w:tr>
          </w:tbl>
          <w:p w14:paraId="35FE92B5" w14:textId="77777777" w:rsidR="009C1CE0" w:rsidRDefault="009C1CE0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14:paraId="2C580F3F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C783" w14:textId="77777777" w:rsidR="007E2644" w:rsidRDefault="007E2644" w:rsidP="007E2644">
      <w:pPr>
        <w:spacing w:after="0" w:line="240" w:lineRule="auto"/>
      </w:pPr>
      <w:r>
        <w:separator/>
      </w:r>
    </w:p>
  </w:endnote>
  <w:endnote w:type="continuationSeparator" w:id="0">
    <w:p w14:paraId="3E2923EA" w14:textId="77777777" w:rsidR="007E2644" w:rsidRDefault="007E264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B596" w14:textId="77777777" w:rsidR="007E2644" w:rsidRDefault="007E2644" w:rsidP="007E2644">
      <w:pPr>
        <w:spacing w:after="0" w:line="240" w:lineRule="auto"/>
      </w:pPr>
      <w:r>
        <w:separator/>
      </w:r>
    </w:p>
  </w:footnote>
  <w:footnote w:type="continuationSeparator" w:id="0">
    <w:p w14:paraId="38E633B1" w14:textId="77777777" w:rsidR="007E2644" w:rsidRDefault="007E264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1AF2" w14:textId="2F324B23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5FB92850" wp14:editId="5D4C706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</w:t>
    </w:r>
    <w:r w:rsidR="00F40C9F" w:rsidRPr="00B97741">
      <w:rPr>
        <w:b/>
        <w:sz w:val="28"/>
        <w:szCs w:val="28"/>
      </w:rPr>
      <w:t>:</w:t>
    </w:r>
    <w:r w:rsidR="00A2102F" w:rsidRPr="00B97741">
      <w:rPr>
        <w:b/>
        <w:sz w:val="28"/>
        <w:szCs w:val="28"/>
      </w:rPr>
      <w:t xml:space="preserve">  </w:t>
    </w:r>
    <w:r w:rsidR="002E7A33">
      <w:rPr>
        <w:b/>
        <w:sz w:val="28"/>
        <w:szCs w:val="28"/>
      </w:rPr>
      <w:t>PSHE</w:t>
    </w:r>
    <w:r w:rsidR="00A2102F">
      <w:t xml:space="preserve">       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2E7A33">
      <w:rPr>
        <w:b/>
        <w:sz w:val="28"/>
        <w:szCs w:val="28"/>
      </w:rPr>
      <w:t>1</w:t>
    </w:r>
    <w:r w:rsidR="00AF63F7">
      <w:rPr>
        <w:b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5A6A"/>
    <w:rsid w:val="00065077"/>
    <w:rsid w:val="0008477D"/>
    <w:rsid w:val="000B6C29"/>
    <w:rsid w:val="000C3DB2"/>
    <w:rsid w:val="000E035B"/>
    <w:rsid w:val="00101C85"/>
    <w:rsid w:val="00104BA2"/>
    <w:rsid w:val="00113948"/>
    <w:rsid w:val="00161BE2"/>
    <w:rsid w:val="00231C2A"/>
    <w:rsid w:val="00235E3F"/>
    <w:rsid w:val="0024463E"/>
    <w:rsid w:val="00266EAB"/>
    <w:rsid w:val="0027444A"/>
    <w:rsid w:val="002905E1"/>
    <w:rsid w:val="002B28B6"/>
    <w:rsid w:val="002E7A33"/>
    <w:rsid w:val="00367801"/>
    <w:rsid w:val="003815A6"/>
    <w:rsid w:val="003871AF"/>
    <w:rsid w:val="003D45DA"/>
    <w:rsid w:val="003E7D59"/>
    <w:rsid w:val="00423073"/>
    <w:rsid w:val="004643D9"/>
    <w:rsid w:val="004845FE"/>
    <w:rsid w:val="00495C53"/>
    <w:rsid w:val="004C10C8"/>
    <w:rsid w:val="0054129D"/>
    <w:rsid w:val="00556F11"/>
    <w:rsid w:val="005757FE"/>
    <w:rsid w:val="005E5585"/>
    <w:rsid w:val="00627A4F"/>
    <w:rsid w:val="00663A62"/>
    <w:rsid w:val="00665183"/>
    <w:rsid w:val="006A36D8"/>
    <w:rsid w:val="006F682B"/>
    <w:rsid w:val="00706F3D"/>
    <w:rsid w:val="007667E9"/>
    <w:rsid w:val="00780181"/>
    <w:rsid w:val="0078718D"/>
    <w:rsid w:val="007A3433"/>
    <w:rsid w:val="007D5867"/>
    <w:rsid w:val="007E2644"/>
    <w:rsid w:val="007F5387"/>
    <w:rsid w:val="00897FDC"/>
    <w:rsid w:val="008B4B68"/>
    <w:rsid w:val="008C2454"/>
    <w:rsid w:val="008C610A"/>
    <w:rsid w:val="008E28E4"/>
    <w:rsid w:val="0092018E"/>
    <w:rsid w:val="00930BC2"/>
    <w:rsid w:val="00944E4D"/>
    <w:rsid w:val="0095088E"/>
    <w:rsid w:val="00965FE6"/>
    <w:rsid w:val="009C1CE0"/>
    <w:rsid w:val="00A2102F"/>
    <w:rsid w:val="00A4444C"/>
    <w:rsid w:val="00A81161"/>
    <w:rsid w:val="00A90C2F"/>
    <w:rsid w:val="00A91064"/>
    <w:rsid w:val="00AE53A3"/>
    <w:rsid w:val="00AF63F7"/>
    <w:rsid w:val="00B13720"/>
    <w:rsid w:val="00B459FB"/>
    <w:rsid w:val="00B57237"/>
    <w:rsid w:val="00B66D26"/>
    <w:rsid w:val="00B76383"/>
    <w:rsid w:val="00B97741"/>
    <w:rsid w:val="00B97D44"/>
    <w:rsid w:val="00BB5FAD"/>
    <w:rsid w:val="00BE51A5"/>
    <w:rsid w:val="00C03E98"/>
    <w:rsid w:val="00C03F0B"/>
    <w:rsid w:val="00C42F52"/>
    <w:rsid w:val="00CC7E80"/>
    <w:rsid w:val="00D536C2"/>
    <w:rsid w:val="00D6080B"/>
    <w:rsid w:val="00D81F2F"/>
    <w:rsid w:val="00DA5BA0"/>
    <w:rsid w:val="00E00781"/>
    <w:rsid w:val="00E25AA7"/>
    <w:rsid w:val="00E83EB5"/>
    <w:rsid w:val="00E93B59"/>
    <w:rsid w:val="00E96060"/>
    <w:rsid w:val="00EA35B1"/>
    <w:rsid w:val="00EC58B8"/>
    <w:rsid w:val="00F24EAE"/>
    <w:rsid w:val="00F376CC"/>
    <w:rsid w:val="00F40C9F"/>
    <w:rsid w:val="00F5548A"/>
    <w:rsid w:val="00F91ADA"/>
    <w:rsid w:val="00FC3481"/>
    <w:rsid w:val="00FE0F80"/>
    <w:rsid w:val="00FE7F18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9165AA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EE3798-718A-44B5-A25D-4AF9C93B99A2}"/>
</file>

<file path=customXml/itemProps3.xml><?xml version="1.0" encoding="utf-8"?>
<ds:datastoreItem xmlns:ds="http://schemas.openxmlformats.org/officeDocument/2006/customXml" ds:itemID="{BEC72E03-D0CA-4FEA-A830-97064449C921}"/>
</file>

<file path=customXml/itemProps4.xml><?xml version="1.0" encoding="utf-8"?>
<ds:datastoreItem xmlns:ds="http://schemas.openxmlformats.org/officeDocument/2006/customXml" ds:itemID="{FF6129D4-EB49-4106-A25E-F73E71AD4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Ebony Houghton (HUB)</cp:lastModifiedBy>
  <cp:revision>50</cp:revision>
  <cp:lastPrinted>2024-02-19T12:23:00Z</cp:lastPrinted>
  <dcterms:created xsi:type="dcterms:W3CDTF">2025-09-18T15:54:00Z</dcterms:created>
  <dcterms:modified xsi:type="dcterms:W3CDTF">2025-09-18T19:47:00Z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